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21" w:rsidRDefault="00386C12" w:rsidP="00872F50">
      <w:pPr>
        <w:spacing w:before="120"/>
        <w:rPr>
          <w:rFonts w:ascii="Sylfaen" w:hAnsi="Sylfaen"/>
          <w:b/>
          <w:color w:val="000080"/>
          <w:sz w:val="22"/>
          <w:szCs w:val="22"/>
        </w:rPr>
      </w:pPr>
      <w:bookmarkStart w:id="0" w:name="_GoBack"/>
      <w:bookmarkEnd w:id="0"/>
      <w:r>
        <w:rPr>
          <w:rFonts w:ascii="Sylfaen" w:hAnsi="Sylfaen"/>
          <w:b/>
          <w:noProof/>
          <w:color w:val="000080"/>
          <w:sz w:val="22"/>
          <w:szCs w:val="22"/>
        </w:rPr>
        <w:drawing>
          <wp:inline distT="0" distB="0" distL="0" distR="0" wp14:anchorId="4D50D70D" wp14:editId="3156DFEC">
            <wp:extent cx="3209925" cy="1066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066800"/>
                    </a:xfrm>
                    <a:prstGeom prst="rect">
                      <a:avLst/>
                    </a:prstGeom>
                    <a:noFill/>
                    <a:ln>
                      <a:noFill/>
                    </a:ln>
                  </pic:spPr>
                </pic:pic>
              </a:graphicData>
            </a:graphic>
          </wp:inline>
        </w:drawing>
      </w:r>
    </w:p>
    <w:p w:rsidR="00E052EC" w:rsidRPr="00EA4056" w:rsidRDefault="00E052EC" w:rsidP="00EA4056">
      <w:pPr>
        <w:ind w:left="-540"/>
        <w:rPr>
          <w:rFonts w:ascii="Calibri" w:hAnsi="Calibri" w:cs="Calibri"/>
          <w:color w:val="0070C0"/>
          <w:sz w:val="22"/>
          <w:szCs w:val="24"/>
        </w:rPr>
      </w:pPr>
    </w:p>
    <w:p w:rsidR="00F61D21" w:rsidRPr="0074085D" w:rsidRDefault="00F61D21" w:rsidP="00EA4056">
      <w:pPr>
        <w:rPr>
          <w:rFonts w:ascii="Sylfaen" w:hAnsi="Sylfaen"/>
          <w:szCs w:val="24"/>
        </w:rPr>
        <w:sectPr w:rsidR="00F61D21" w:rsidRPr="0074085D" w:rsidSect="00AC20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720" w:footer="765" w:gutter="0"/>
          <w:pgNumType w:start="1"/>
          <w:cols w:space="720" w:equalWidth="0">
            <w:col w:w="9720" w:space="2"/>
          </w:cols>
          <w:titlePg/>
          <w:docGrid w:linePitch="326"/>
        </w:sectPr>
      </w:pPr>
    </w:p>
    <w:p w:rsidR="00782E57" w:rsidRPr="0074085D" w:rsidRDefault="00872F50" w:rsidP="0074085D">
      <w:pPr>
        <w:rPr>
          <w:rFonts w:ascii="Sylfaen" w:hAnsi="Sylfaen"/>
          <w:szCs w:val="24"/>
        </w:rPr>
      </w:pPr>
      <w:r w:rsidRPr="00EA4056">
        <w:rPr>
          <w:rFonts w:ascii="Calibri" w:hAnsi="Calibri" w:cs="Calibri"/>
          <w:noProof/>
          <w:color w:val="0070C0"/>
          <w:sz w:val="22"/>
          <w:szCs w:val="24"/>
        </w:rPr>
        <mc:AlternateContent>
          <mc:Choice Requires="wps">
            <w:drawing>
              <wp:anchor distT="0" distB="0" distL="114300" distR="114300" simplePos="0" relativeHeight="251657728" behindDoc="0" locked="0" layoutInCell="1" allowOverlap="1" wp14:anchorId="6CD91E2C" wp14:editId="60677C16">
                <wp:simplePos x="0" y="0"/>
                <wp:positionH relativeFrom="column">
                  <wp:posOffset>-37789</wp:posOffset>
                </wp:positionH>
                <wp:positionV relativeFrom="paragraph">
                  <wp:posOffset>140335</wp:posOffset>
                </wp:positionV>
                <wp:extent cx="6217920" cy="0"/>
                <wp:effectExtent l="0" t="0" r="0" b="0"/>
                <wp:wrapNone/>
                <wp:docPr id="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5AC529D" id="Line 17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05pt" to="486.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" strokecolor="#0070c0" strokeweight="2.25pt"/>
            </w:pict>
          </mc:Fallback>
        </mc:AlternateContent>
      </w:r>
    </w:p>
    <w:p w:rsidR="00EA4056" w:rsidRPr="0074085D" w:rsidRDefault="00EA4056" w:rsidP="0074085D">
      <w:pPr>
        <w:jc w:val="center"/>
        <w:rPr>
          <w:rFonts w:ascii="Sylfaen" w:hAnsi="Sylfaen"/>
          <w:b/>
          <w:spacing w:val="100"/>
          <w:szCs w:val="24"/>
        </w:rPr>
      </w:pPr>
    </w:p>
    <w:p w:rsidR="00EA4056" w:rsidRPr="0074085D" w:rsidRDefault="00EA4056" w:rsidP="0074085D">
      <w:pPr>
        <w:rPr>
          <w:rFonts w:ascii="Sylfaen" w:hAnsi="Sylfaen"/>
          <w:szCs w:val="24"/>
        </w:rPr>
      </w:pPr>
    </w:p>
    <w:p w:rsidR="00EA4056" w:rsidRPr="00403FF5" w:rsidRDefault="0061159C" w:rsidP="00403FF5">
      <w:pPr>
        <w:rPr>
          <w:rFonts w:ascii="Sylfaen" w:hAnsi="Sylfaen"/>
          <w:szCs w:val="24"/>
        </w:rPr>
      </w:pPr>
      <w:r>
        <w:rPr>
          <w:rFonts w:ascii="Sylfaen" w:hAnsi="Sylfaen"/>
          <w:szCs w:val="24"/>
        </w:rPr>
        <w:t>March 2</w:t>
      </w:r>
      <w:r w:rsidR="00FA59AE">
        <w:rPr>
          <w:rFonts w:ascii="Sylfaen" w:hAnsi="Sylfaen"/>
          <w:szCs w:val="24"/>
        </w:rPr>
        <w:t>7</w:t>
      </w:r>
      <w:r w:rsidR="003A0D5A">
        <w:rPr>
          <w:rFonts w:ascii="Sylfaen" w:hAnsi="Sylfaen"/>
          <w:szCs w:val="24"/>
        </w:rPr>
        <w:t>, 2020</w:t>
      </w:r>
    </w:p>
    <w:p w:rsidR="003613A0" w:rsidRDefault="003613A0" w:rsidP="00403FF5">
      <w:pPr>
        <w:rPr>
          <w:rFonts w:ascii="Sylfaen" w:hAnsi="Sylfaen"/>
          <w:szCs w:val="24"/>
        </w:rPr>
      </w:pPr>
    </w:p>
    <w:p w:rsidR="008C29AF" w:rsidRPr="00403FF5" w:rsidRDefault="007640F2" w:rsidP="00403FF5">
      <w:pPr>
        <w:rPr>
          <w:rFonts w:ascii="Sylfaen" w:hAnsi="Sylfaen"/>
          <w:szCs w:val="24"/>
        </w:rPr>
      </w:pPr>
      <w:r w:rsidRPr="007640F2">
        <w:rPr>
          <w:rFonts w:ascii="Sylfaen" w:hAnsi="Sylfaen"/>
          <w:szCs w:val="24"/>
        </w:rPr>
        <w:t xml:space="preserve">Mr. </w:t>
      </w:r>
      <w:r w:rsidR="008C29AF" w:rsidRPr="007640F2">
        <w:rPr>
          <w:rFonts w:ascii="Sylfaen" w:hAnsi="Sylfaen"/>
          <w:szCs w:val="24"/>
        </w:rPr>
        <w:t>Xavier Becerra</w:t>
      </w:r>
    </w:p>
    <w:p w:rsidR="008C29AF" w:rsidRPr="007640F2" w:rsidRDefault="007640F2" w:rsidP="008C29AF">
      <w:pPr>
        <w:rPr>
          <w:rFonts w:ascii="Sylfaen" w:hAnsi="Sylfaen"/>
          <w:szCs w:val="24"/>
        </w:rPr>
      </w:pPr>
      <w:r w:rsidRPr="007640F2">
        <w:rPr>
          <w:rFonts w:ascii="Sylfaen" w:hAnsi="Sylfaen"/>
          <w:szCs w:val="24"/>
        </w:rPr>
        <w:t>California</w:t>
      </w:r>
      <w:r w:rsidR="008C29AF" w:rsidRPr="007640F2">
        <w:rPr>
          <w:rFonts w:ascii="Sylfaen" w:hAnsi="Sylfaen"/>
          <w:szCs w:val="24"/>
        </w:rPr>
        <w:t xml:space="preserve"> Department of Justice</w:t>
      </w:r>
    </w:p>
    <w:p w:rsidR="008C29AF" w:rsidRPr="007640F2" w:rsidRDefault="008C29AF" w:rsidP="008C29AF">
      <w:pPr>
        <w:rPr>
          <w:rFonts w:ascii="Sylfaen" w:hAnsi="Sylfaen"/>
          <w:szCs w:val="24"/>
        </w:rPr>
      </w:pPr>
      <w:r w:rsidRPr="007640F2">
        <w:rPr>
          <w:rFonts w:ascii="Sylfaen" w:hAnsi="Sylfaen"/>
          <w:szCs w:val="24"/>
        </w:rPr>
        <w:t>ATTN: Privacy Regulations Coordinator</w:t>
      </w:r>
    </w:p>
    <w:p w:rsidR="00951094" w:rsidRDefault="00951094" w:rsidP="008C29AF">
      <w:pPr>
        <w:rPr>
          <w:rFonts w:ascii="Sylfaen" w:hAnsi="Sylfaen"/>
          <w:szCs w:val="24"/>
        </w:rPr>
      </w:pPr>
      <w:r>
        <w:rPr>
          <w:rFonts w:ascii="Sylfaen" w:hAnsi="Sylfaen"/>
          <w:szCs w:val="24"/>
        </w:rPr>
        <w:t>300 S. Spring Street</w:t>
      </w:r>
      <w:r w:rsidR="00BF6CF6">
        <w:rPr>
          <w:rFonts w:ascii="Sylfaen" w:hAnsi="Sylfaen"/>
          <w:szCs w:val="24"/>
        </w:rPr>
        <w:t>, First Floor</w:t>
      </w:r>
    </w:p>
    <w:p w:rsidR="008C29AF" w:rsidRPr="007640F2" w:rsidRDefault="008C29AF" w:rsidP="008C29AF">
      <w:pPr>
        <w:rPr>
          <w:rFonts w:ascii="Sylfaen" w:hAnsi="Sylfaen"/>
          <w:szCs w:val="24"/>
        </w:rPr>
      </w:pPr>
      <w:r w:rsidRPr="007640F2">
        <w:rPr>
          <w:rFonts w:ascii="Sylfaen" w:hAnsi="Sylfaen"/>
          <w:szCs w:val="24"/>
        </w:rPr>
        <w:t>Los Angeles, CA 90013</w:t>
      </w:r>
    </w:p>
    <w:p w:rsidR="008C29AF" w:rsidRPr="007640F2" w:rsidRDefault="008C29AF" w:rsidP="008C29AF">
      <w:pPr>
        <w:rPr>
          <w:rFonts w:ascii="Sylfaen" w:hAnsi="Sylfaen"/>
          <w:szCs w:val="24"/>
        </w:rPr>
      </w:pPr>
    </w:p>
    <w:p w:rsidR="003613A0" w:rsidRPr="008C29AF" w:rsidRDefault="008C29AF" w:rsidP="00403FF5">
      <w:r w:rsidRPr="007640F2">
        <w:rPr>
          <w:rFonts w:ascii="Sylfaen" w:hAnsi="Sylfaen"/>
          <w:szCs w:val="24"/>
        </w:rPr>
        <w:t>By Email to: PrivacyRegulations@doj.ca.gov</w:t>
      </w:r>
    </w:p>
    <w:p w:rsidR="003613A0" w:rsidRPr="00403FF5" w:rsidRDefault="003613A0" w:rsidP="00403FF5">
      <w:pPr>
        <w:rPr>
          <w:rFonts w:ascii="Sylfaen" w:hAnsi="Sylfaen"/>
          <w:szCs w:val="24"/>
        </w:rPr>
      </w:pPr>
    </w:p>
    <w:p w:rsidR="003613A0" w:rsidRPr="00403FF5" w:rsidRDefault="003613A0" w:rsidP="00403FF5">
      <w:pPr>
        <w:ind w:left="720"/>
        <w:rPr>
          <w:rFonts w:ascii="Sylfaen" w:hAnsi="Sylfaen"/>
          <w:b/>
          <w:szCs w:val="24"/>
        </w:rPr>
      </w:pPr>
      <w:r w:rsidRPr="00403FF5">
        <w:rPr>
          <w:rFonts w:ascii="Sylfaen" w:hAnsi="Sylfaen"/>
          <w:b/>
          <w:szCs w:val="24"/>
        </w:rPr>
        <w:t xml:space="preserve">Re: </w:t>
      </w:r>
      <w:r w:rsidR="003A0D5A">
        <w:rPr>
          <w:rFonts w:ascii="Sylfaen" w:hAnsi="Sylfaen"/>
          <w:b/>
          <w:szCs w:val="24"/>
        </w:rPr>
        <w:t xml:space="preserve">Revised </w:t>
      </w:r>
      <w:r w:rsidR="007640F2">
        <w:rPr>
          <w:rFonts w:ascii="Sylfaen" w:hAnsi="Sylfaen"/>
          <w:b/>
          <w:szCs w:val="24"/>
        </w:rPr>
        <w:t xml:space="preserve">CCPA </w:t>
      </w:r>
      <w:r w:rsidR="000A7ED6">
        <w:rPr>
          <w:rFonts w:ascii="Sylfaen" w:hAnsi="Sylfaen"/>
          <w:b/>
          <w:szCs w:val="24"/>
        </w:rPr>
        <w:t xml:space="preserve">Proposed </w:t>
      </w:r>
      <w:r w:rsidR="007640F2">
        <w:rPr>
          <w:rFonts w:ascii="Sylfaen" w:hAnsi="Sylfaen"/>
          <w:b/>
          <w:szCs w:val="24"/>
        </w:rPr>
        <w:t>Regulations</w:t>
      </w:r>
    </w:p>
    <w:p w:rsidR="003613A0" w:rsidRPr="00403FF5" w:rsidRDefault="003613A0" w:rsidP="00403FF5">
      <w:pPr>
        <w:rPr>
          <w:rFonts w:ascii="Sylfaen" w:hAnsi="Sylfaen"/>
          <w:szCs w:val="24"/>
        </w:rPr>
      </w:pPr>
    </w:p>
    <w:p w:rsidR="003613A0" w:rsidRPr="00403FF5" w:rsidRDefault="003613A0" w:rsidP="00403FF5">
      <w:pPr>
        <w:rPr>
          <w:rFonts w:ascii="Sylfaen" w:hAnsi="Sylfaen"/>
          <w:szCs w:val="24"/>
        </w:rPr>
      </w:pPr>
      <w:r w:rsidRPr="00403FF5">
        <w:rPr>
          <w:rFonts w:ascii="Sylfaen" w:hAnsi="Sylfaen"/>
          <w:szCs w:val="24"/>
        </w:rPr>
        <w:t xml:space="preserve">Dear </w:t>
      </w:r>
      <w:r w:rsidR="007640F2">
        <w:rPr>
          <w:rFonts w:ascii="Sylfaen" w:hAnsi="Sylfaen"/>
          <w:szCs w:val="24"/>
        </w:rPr>
        <w:t>Attorney General Becerra</w:t>
      </w:r>
      <w:r w:rsidRPr="00403FF5">
        <w:rPr>
          <w:rFonts w:ascii="Sylfaen" w:hAnsi="Sylfaen"/>
          <w:szCs w:val="24"/>
        </w:rPr>
        <w:t>,</w:t>
      </w:r>
    </w:p>
    <w:p w:rsidR="003613A0" w:rsidRPr="00403FF5" w:rsidRDefault="003613A0" w:rsidP="00403FF5">
      <w:pPr>
        <w:rPr>
          <w:rFonts w:ascii="Sylfaen" w:hAnsi="Sylfaen"/>
          <w:szCs w:val="24"/>
        </w:rPr>
      </w:pPr>
    </w:p>
    <w:p w:rsidR="00403FF5" w:rsidRPr="00403FF5" w:rsidRDefault="00697F35" w:rsidP="00403FF5">
      <w:pPr>
        <w:rPr>
          <w:rFonts w:ascii="Sylfaen" w:hAnsi="Sylfaen"/>
          <w:szCs w:val="24"/>
        </w:rPr>
      </w:pPr>
      <w:r>
        <w:rPr>
          <w:rFonts w:ascii="Sylfaen" w:hAnsi="Sylfaen"/>
          <w:szCs w:val="24"/>
        </w:rPr>
        <w:tab/>
      </w:r>
      <w:r w:rsidR="00403FF5" w:rsidRPr="00403FF5">
        <w:rPr>
          <w:rFonts w:ascii="Sylfaen" w:hAnsi="Sylfaen"/>
          <w:szCs w:val="24"/>
        </w:rPr>
        <w:t xml:space="preserve">The International Pharmaceutical &amp; Medical Device Privacy Consortium (“IPMPC”) welcomes the opportunity to </w:t>
      </w:r>
      <w:r w:rsidR="0056246E">
        <w:rPr>
          <w:rFonts w:ascii="Sylfaen" w:hAnsi="Sylfaen"/>
          <w:szCs w:val="24"/>
        </w:rPr>
        <w:t xml:space="preserve">provide comments on the </w:t>
      </w:r>
      <w:r w:rsidR="003A0D5A">
        <w:rPr>
          <w:rFonts w:ascii="Sylfaen" w:hAnsi="Sylfaen"/>
          <w:szCs w:val="24"/>
        </w:rPr>
        <w:t xml:space="preserve">revised </w:t>
      </w:r>
      <w:r w:rsidR="006F1C73">
        <w:rPr>
          <w:rFonts w:ascii="Sylfaen" w:hAnsi="Sylfaen"/>
          <w:szCs w:val="24"/>
        </w:rPr>
        <w:t xml:space="preserve">proposed </w:t>
      </w:r>
      <w:r w:rsidR="0056246E">
        <w:rPr>
          <w:rFonts w:ascii="Sylfaen" w:hAnsi="Sylfaen"/>
          <w:szCs w:val="24"/>
        </w:rPr>
        <w:t>regulations under the California Consumer Privacy Act (CCPA)</w:t>
      </w:r>
      <w:r w:rsidR="00403FF5" w:rsidRPr="00403FF5">
        <w:rPr>
          <w:rFonts w:ascii="Sylfaen" w:hAnsi="Sylfaen"/>
          <w:szCs w:val="24"/>
        </w:rPr>
        <w:t xml:space="preserve">. </w:t>
      </w:r>
    </w:p>
    <w:p w:rsidR="00403FF5" w:rsidRPr="00403FF5" w:rsidRDefault="00403FF5" w:rsidP="00403FF5">
      <w:pPr>
        <w:autoSpaceDE w:val="0"/>
        <w:autoSpaceDN w:val="0"/>
        <w:adjustRightInd w:val="0"/>
        <w:rPr>
          <w:rFonts w:ascii="Sylfaen" w:hAnsi="Sylfaen"/>
          <w:szCs w:val="24"/>
        </w:rPr>
      </w:pPr>
    </w:p>
    <w:p w:rsidR="00403FF5" w:rsidRDefault="00697F35" w:rsidP="00403FF5">
      <w:pPr>
        <w:rPr>
          <w:rFonts w:ascii="Sylfaen" w:hAnsi="Sylfaen"/>
          <w:szCs w:val="24"/>
        </w:rPr>
      </w:pPr>
      <w:r>
        <w:rPr>
          <w:rFonts w:ascii="Sylfaen" w:hAnsi="Sylfaen"/>
          <w:szCs w:val="24"/>
        </w:rPr>
        <w:tab/>
      </w:r>
      <w:r w:rsidR="00403FF5" w:rsidRPr="00403FF5">
        <w:rPr>
          <w:rFonts w:ascii="Sylfaen" w:hAnsi="Sylfaen"/>
          <w:szCs w:val="24"/>
        </w:rPr>
        <w:t>The IPMPC is comprised of chief privacy officers and other data privacy and security professionals from a number of research-based, global pharmaceutical companies and medical device manufacturers.</w:t>
      </w:r>
      <w:r w:rsidR="00403FF5" w:rsidRPr="00403FF5">
        <w:rPr>
          <w:rStyle w:val="FootnoteReference"/>
          <w:rFonts w:ascii="Sylfaen" w:hAnsi="Sylfaen"/>
          <w:szCs w:val="24"/>
        </w:rPr>
        <w:footnoteReference w:id="1"/>
      </w:r>
      <w:r w:rsidR="00403FF5" w:rsidRPr="00403FF5">
        <w:rPr>
          <w:rFonts w:ascii="Sylfaen" w:hAnsi="Sylfaen"/>
          <w:szCs w:val="24"/>
        </w:rPr>
        <w:t xml:space="preserve"> </w:t>
      </w:r>
      <w:r w:rsidR="008F1BDD">
        <w:rPr>
          <w:rFonts w:ascii="Sylfaen" w:hAnsi="Sylfaen"/>
          <w:szCs w:val="24"/>
        </w:rPr>
        <w:t xml:space="preserve">The </w:t>
      </w:r>
      <w:r w:rsidR="00403FF5" w:rsidRPr="00403FF5">
        <w:rPr>
          <w:rFonts w:ascii="Sylfaen" w:hAnsi="Sylfaen"/>
          <w:szCs w:val="24"/>
        </w:rPr>
        <w:t>IPMPC is the leading voice in the global pharmaceutical and medical device industries to advance innovative privacy solutions to protect patients, enhance healthcare, and support business enablement.</w:t>
      </w:r>
      <w:r w:rsidR="00403FF5" w:rsidRPr="00403FF5">
        <w:rPr>
          <w:rStyle w:val="FootnoteReference"/>
          <w:rFonts w:ascii="Sylfaen" w:hAnsi="Sylfaen"/>
          <w:szCs w:val="24"/>
        </w:rPr>
        <w:footnoteReference w:id="2"/>
      </w:r>
    </w:p>
    <w:p w:rsidR="00651547" w:rsidRDefault="00651547" w:rsidP="00403FF5">
      <w:pPr>
        <w:rPr>
          <w:rFonts w:ascii="Sylfaen" w:hAnsi="Sylfaen"/>
          <w:szCs w:val="24"/>
        </w:rPr>
      </w:pPr>
    </w:p>
    <w:p w:rsidR="00C829AE" w:rsidRDefault="00C829AE" w:rsidP="00403FF5">
      <w:pPr>
        <w:rPr>
          <w:rFonts w:ascii="Sylfaen" w:hAnsi="Sylfaen"/>
          <w:szCs w:val="24"/>
        </w:rPr>
      </w:pPr>
      <w:r>
        <w:rPr>
          <w:rFonts w:ascii="Sylfaen" w:hAnsi="Sylfaen"/>
          <w:szCs w:val="24"/>
        </w:rPr>
        <w:lastRenderedPageBreak/>
        <w:tab/>
        <w:t xml:space="preserve">The IPMPC appreciates the </w:t>
      </w:r>
      <w:r w:rsidR="00903906">
        <w:rPr>
          <w:rFonts w:ascii="Sylfaen" w:hAnsi="Sylfaen"/>
          <w:szCs w:val="24"/>
        </w:rPr>
        <w:t>revisions made by the Attorney General to the first</w:t>
      </w:r>
      <w:r w:rsidR="0061159C">
        <w:rPr>
          <w:rFonts w:ascii="Sylfaen" w:hAnsi="Sylfaen"/>
          <w:szCs w:val="24"/>
        </w:rPr>
        <w:t xml:space="preserve"> and second</w:t>
      </w:r>
      <w:r w:rsidR="00903906">
        <w:rPr>
          <w:rFonts w:ascii="Sylfaen" w:hAnsi="Sylfaen"/>
          <w:szCs w:val="24"/>
        </w:rPr>
        <w:t xml:space="preserve"> draft</w:t>
      </w:r>
      <w:r w:rsidR="0061159C">
        <w:rPr>
          <w:rFonts w:ascii="Sylfaen" w:hAnsi="Sylfaen"/>
          <w:szCs w:val="24"/>
        </w:rPr>
        <w:t>s</w:t>
      </w:r>
      <w:r w:rsidR="00903906">
        <w:rPr>
          <w:rFonts w:ascii="Sylfaen" w:hAnsi="Sylfaen"/>
          <w:szCs w:val="24"/>
        </w:rPr>
        <w:t xml:space="preserve"> of the CCPA regulations. The changes in the </w:t>
      </w:r>
      <w:r w:rsidR="0061159C">
        <w:rPr>
          <w:rFonts w:ascii="Sylfaen" w:hAnsi="Sylfaen"/>
          <w:szCs w:val="24"/>
        </w:rPr>
        <w:t>third</w:t>
      </w:r>
      <w:r w:rsidR="00903906">
        <w:rPr>
          <w:rFonts w:ascii="Sylfaen" w:hAnsi="Sylfaen"/>
          <w:szCs w:val="24"/>
        </w:rPr>
        <w:t xml:space="preserve"> draft provide</w:t>
      </w:r>
      <w:r w:rsidR="0061159C">
        <w:rPr>
          <w:rFonts w:ascii="Sylfaen" w:hAnsi="Sylfaen"/>
          <w:szCs w:val="24"/>
        </w:rPr>
        <w:t xml:space="preserve"> additional clarity to businesses, but contribute to uncertainty by removing key guidance. </w:t>
      </w:r>
      <w:r w:rsidR="007C1188">
        <w:rPr>
          <w:rFonts w:ascii="Sylfaen" w:hAnsi="Sylfaen"/>
          <w:szCs w:val="24"/>
        </w:rPr>
        <w:t xml:space="preserve">The IPMPC also wishes to reiterate its previous requests that the Attorney General clarify important aspects of the draft regulations. In particular, the IPMPC wishes to call the Attorney General’s attention to its previous comments on </w:t>
      </w:r>
      <w:r w:rsidR="002F7F2B">
        <w:rPr>
          <w:rFonts w:ascii="Sylfaen" w:hAnsi="Sylfaen"/>
          <w:szCs w:val="24"/>
        </w:rPr>
        <w:t>§</w:t>
      </w:r>
      <w:r w:rsidR="007C1188">
        <w:rPr>
          <w:rFonts w:ascii="Sylfaen" w:hAnsi="Sylfaen"/>
          <w:szCs w:val="24"/>
        </w:rPr>
        <w:t>§ _.301(c)</w:t>
      </w:r>
      <w:r w:rsidR="002F7F2B">
        <w:rPr>
          <w:rFonts w:ascii="Sylfaen" w:hAnsi="Sylfaen"/>
          <w:szCs w:val="24"/>
        </w:rPr>
        <w:t>;</w:t>
      </w:r>
      <w:r w:rsidR="007E19DE">
        <w:rPr>
          <w:rFonts w:ascii="Sylfaen" w:hAnsi="Sylfaen"/>
          <w:szCs w:val="24"/>
        </w:rPr>
        <w:t xml:space="preserve"> _.</w:t>
      </w:r>
      <w:proofErr w:type="gramStart"/>
      <w:r w:rsidR="007E19DE">
        <w:rPr>
          <w:rFonts w:ascii="Sylfaen" w:hAnsi="Sylfaen"/>
          <w:szCs w:val="24"/>
        </w:rPr>
        <w:t>305(</w:t>
      </w:r>
      <w:proofErr w:type="gramEnd"/>
      <w:r w:rsidR="007E19DE">
        <w:rPr>
          <w:rFonts w:ascii="Sylfaen" w:hAnsi="Sylfaen"/>
          <w:szCs w:val="24"/>
        </w:rPr>
        <w:t>a)(3);</w:t>
      </w:r>
      <w:r w:rsidR="007E19DE" w:rsidRPr="007E19DE">
        <w:rPr>
          <w:rFonts w:ascii="Sylfaen" w:hAnsi="Sylfaen"/>
          <w:szCs w:val="24"/>
        </w:rPr>
        <w:t xml:space="preserve"> </w:t>
      </w:r>
      <w:r w:rsidR="007E19DE">
        <w:rPr>
          <w:rFonts w:ascii="Sylfaen" w:hAnsi="Sylfaen"/>
          <w:szCs w:val="24"/>
        </w:rPr>
        <w:t>_.306(e);</w:t>
      </w:r>
      <w:r w:rsidR="00C519BC">
        <w:rPr>
          <w:rFonts w:ascii="Sylfaen" w:hAnsi="Sylfaen"/>
          <w:szCs w:val="24"/>
        </w:rPr>
        <w:t xml:space="preserve"> </w:t>
      </w:r>
      <w:r w:rsidR="002F7F2B">
        <w:rPr>
          <w:rFonts w:ascii="Sylfaen" w:hAnsi="Sylfaen"/>
          <w:szCs w:val="24"/>
        </w:rPr>
        <w:t>_.313(d)(3);</w:t>
      </w:r>
      <w:r w:rsidR="000E7C59">
        <w:rPr>
          <w:rFonts w:ascii="Sylfaen" w:hAnsi="Sylfaen"/>
          <w:szCs w:val="24"/>
        </w:rPr>
        <w:t xml:space="preserve"> _.314(c)</w:t>
      </w:r>
      <w:r w:rsidR="002F7F2B">
        <w:rPr>
          <w:rFonts w:ascii="Sylfaen" w:hAnsi="Sylfaen"/>
          <w:szCs w:val="24"/>
        </w:rPr>
        <w:t>;</w:t>
      </w:r>
      <w:r w:rsidR="00662B10">
        <w:rPr>
          <w:rFonts w:ascii="Sylfaen" w:hAnsi="Sylfaen"/>
          <w:szCs w:val="24"/>
        </w:rPr>
        <w:t xml:space="preserve"> </w:t>
      </w:r>
      <w:r w:rsidR="000E7C59">
        <w:rPr>
          <w:rFonts w:ascii="Sylfaen" w:hAnsi="Sylfaen"/>
          <w:szCs w:val="24"/>
        </w:rPr>
        <w:t>_.314(e)</w:t>
      </w:r>
      <w:r w:rsidR="00A92979">
        <w:rPr>
          <w:rFonts w:ascii="Sylfaen" w:hAnsi="Sylfaen"/>
          <w:szCs w:val="24"/>
        </w:rPr>
        <w:t xml:space="preserve">; and _.317(g)(2). </w:t>
      </w:r>
      <w:r w:rsidR="00351C6C">
        <w:rPr>
          <w:rFonts w:ascii="Sylfaen" w:hAnsi="Sylfaen"/>
          <w:szCs w:val="24"/>
        </w:rPr>
        <w:t xml:space="preserve">A copy of each of our previously submitted comments are attached as appendices for ease of review. </w:t>
      </w:r>
    </w:p>
    <w:p w:rsidR="00662B10" w:rsidRDefault="00662B10" w:rsidP="00403FF5">
      <w:pPr>
        <w:rPr>
          <w:rFonts w:ascii="Sylfaen" w:hAnsi="Sylfaen"/>
          <w:szCs w:val="24"/>
        </w:rPr>
      </w:pPr>
    </w:p>
    <w:p w:rsidR="0014576C" w:rsidRDefault="00662B10" w:rsidP="00403FF5">
      <w:pPr>
        <w:rPr>
          <w:rFonts w:ascii="Sylfaen" w:hAnsi="Sylfaen"/>
          <w:szCs w:val="24"/>
        </w:rPr>
      </w:pPr>
      <w:r>
        <w:rPr>
          <w:rFonts w:ascii="Sylfaen" w:hAnsi="Sylfaen"/>
          <w:szCs w:val="24"/>
        </w:rPr>
        <w:tab/>
        <w:t>Further, the IPMPC reiterates its request from our initial and second set of comments:  We ask that the Attorney General publish examples of the various notices and responses to consumer requests that would be required under the proposed regulations. Example materials will greatly assist businesses in crafting compliance materials that meet consumer expectations under the CCPA.</w:t>
      </w:r>
    </w:p>
    <w:p w:rsidR="00662B10" w:rsidRDefault="00662B10" w:rsidP="00403FF5">
      <w:pPr>
        <w:rPr>
          <w:rFonts w:ascii="Sylfaen" w:hAnsi="Sylfaen"/>
          <w:szCs w:val="24"/>
        </w:rPr>
      </w:pPr>
    </w:p>
    <w:p w:rsidR="002F7F2B" w:rsidRDefault="0021422F" w:rsidP="0021422F">
      <w:pPr>
        <w:ind w:left="1440" w:hanging="1440"/>
        <w:rPr>
          <w:rFonts w:ascii="Sylfaen" w:hAnsi="Sylfaen"/>
          <w:szCs w:val="24"/>
        </w:rPr>
      </w:pPr>
      <w:r>
        <w:rPr>
          <w:rFonts w:ascii="Sylfaen" w:hAnsi="Sylfaen"/>
          <w:szCs w:val="24"/>
        </w:rPr>
        <w:t xml:space="preserve">§ </w:t>
      </w:r>
      <w:r w:rsidR="00843000">
        <w:rPr>
          <w:rFonts w:ascii="Sylfaen" w:hAnsi="Sylfaen"/>
          <w:szCs w:val="24"/>
        </w:rPr>
        <w:t>_</w:t>
      </w:r>
      <w:r>
        <w:rPr>
          <w:rFonts w:ascii="Sylfaen" w:hAnsi="Sylfaen"/>
          <w:szCs w:val="24"/>
        </w:rPr>
        <w:t>.302</w:t>
      </w:r>
      <w:r>
        <w:rPr>
          <w:rFonts w:ascii="Sylfaen" w:hAnsi="Sylfaen"/>
          <w:szCs w:val="24"/>
        </w:rPr>
        <w:tab/>
        <w:t xml:space="preserve">The IPMPC believes the </w:t>
      </w:r>
      <w:r w:rsidR="002F7F2B">
        <w:rPr>
          <w:rFonts w:ascii="Sylfaen" w:hAnsi="Sylfaen"/>
          <w:szCs w:val="24"/>
        </w:rPr>
        <w:t>previous</w:t>
      </w:r>
      <w:r w:rsidR="00351C6C">
        <w:rPr>
          <w:rFonts w:ascii="Sylfaen" w:hAnsi="Sylfaen"/>
          <w:szCs w:val="24"/>
        </w:rPr>
        <w:t xml:space="preserve"> interpretative</w:t>
      </w:r>
      <w:r w:rsidR="002F7F2B">
        <w:rPr>
          <w:rFonts w:ascii="Sylfaen" w:hAnsi="Sylfaen"/>
          <w:szCs w:val="24"/>
        </w:rPr>
        <w:t xml:space="preserve"> </w:t>
      </w:r>
      <w:r>
        <w:rPr>
          <w:rFonts w:ascii="Sylfaen" w:hAnsi="Sylfaen"/>
          <w:szCs w:val="24"/>
        </w:rPr>
        <w:t xml:space="preserve">guidance </w:t>
      </w:r>
      <w:r w:rsidR="00351C6C">
        <w:rPr>
          <w:rFonts w:ascii="Sylfaen" w:hAnsi="Sylfaen"/>
          <w:szCs w:val="24"/>
        </w:rPr>
        <w:t xml:space="preserve">on the definition of “personal information” </w:t>
      </w:r>
      <w:r>
        <w:rPr>
          <w:rFonts w:ascii="Sylfaen" w:hAnsi="Sylfaen"/>
          <w:szCs w:val="24"/>
        </w:rPr>
        <w:t>provided by the Attorney General</w:t>
      </w:r>
      <w:r w:rsidR="002F7F2B">
        <w:rPr>
          <w:rFonts w:ascii="Sylfaen" w:hAnsi="Sylfaen"/>
          <w:szCs w:val="24"/>
        </w:rPr>
        <w:t xml:space="preserve"> </w:t>
      </w:r>
      <w:r w:rsidR="00351C6C">
        <w:rPr>
          <w:rFonts w:ascii="Sylfaen" w:hAnsi="Sylfaen"/>
          <w:szCs w:val="24"/>
        </w:rPr>
        <w:t xml:space="preserve">in this section </w:t>
      </w:r>
      <w:r w:rsidR="002F7F2B">
        <w:rPr>
          <w:rFonts w:ascii="Sylfaen" w:hAnsi="Sylfaen"/>
          <w:szCs w:val="24"/>
        </w:rPr>
        <w:t>should be restored. As the IPMPC noted in its February comments, th</w:t>
      </w:r>
      <w:r w:rsidR="00351C6C">
        <w:rPr>
          <w:rFonts w:ascii="Sylfaen" w:hAnsi="Sylfaen"/>
          <w:szCs w:val="24"/>
        </w:rPr>
        <w:t xml:space="preserve">at </w:t>
      </w:r>
      <w:r w:rsidR="009A026F">
        <w:rPr>
          <w:rFonts w:ascii="Sylfaen" w:hAnsi="Sylfaen"/>
          <w:szCs w:val="24"/>
        </w:rPr>
        <w:t>interpretative</w:t>
      </w:r>
      <w:r w:rsidR="00EF6714">
        <w:rPr>
          <w:rFonts w:ascii="Sylfaen" w:hAnsi="Sylfaen"/>
          <w:szCs w:val="24"/>
        </w:rPr>
        <w:t xml:space="preserve"> </w:t>
      </w:r>
      <w:r w:rsidR="002F7F2B">
        <w:rPr>
          <w:rFonts w:ascii="Sylfaen" w:hAnsi="Sylfaen"/>
          <w:szCs w:val="24"/>
        </w:rPr>
        <w:t>guidance</w:t>
      </w:r>
      <w:r>
        <w:rPr>
          <w:rFonts w:ascii="Sylfaen" w:hAnsi="Sylfaen"/>
          <w:szCs w:val="24"/>
        </w:rPr>
        <w:t xml:space="preserve"> </w:t>
      </w:r>
      <w:r w:rsidR="002F7F2B">
        <w:rPr>
          <w:rFonts w:ascii="Sylfaen" w:hAnsi="Sylfaen"/>
          <w:szCs w:val="24"/>
        </w:rPr>
        <w:t>offered</w:t>
      </w:r>
      <w:r>
        <w:rPr>
          <w:rFonts w:ascii="Sylfaen" w:hAnsi="Sylfaen"/>
          <w:szCs w:val="24"/>
        </w:rPr>
        <w:t xml:space="preserve"> needed clarity about the standard to be applied when determining whether data held by a business is “personal information.” </w:t>
      </w:r>
    </w:p>
    <w:p w:rsidR="002F7F2B" w:rsidRDefault="002F7F2B" w:rsidP="0021422F">
      <w:pPr>
        <w:ind w:left="1440" w:hanging="1440"/>
        <w:rPr>
          <w:rFonts w:ascii="Sylfaen" w:hAnsi="Sylfaen"/>
          <w:szCs w:val="24"/>
        </w:rPr>
      </w:pPr>
    </w:p>
    <w:p w:rsidR="00EF73EB" w:rsidRDefault="002F7F2B" w:rsidP="0021422F">
      <w:pPr>
        <w:ind w:left="1440" w:hanging="1440"/>
        <w:rPr>
          <w:rFonts w:ascii="Sylfaen" w:hAnsi="Sylfaen"/>
          <w:szCs w:val="24"/>
        </w:rPr>
      </w:pPr>
      <w:r>
        <w:rPr>
          <w:rFonts w:ascii="Sylfaen" w:hAnsi="Sylfaen"/>
          <w:szCs w:val="24"/>
        </w:rPr>
        <w:tab/>
        <w:t>As noted in prior comment</w:t>
      </w:r>
      <w:r w:rsidR="007F211A">
        <w:rPr>
          <w:rFonts w:ascii="Sylfaen" w:hAnsi="Sylfaen"/>
          <w:szCs w:val="24"/>
        </w:rPr>
        <w:t>s</w:t>
      </w:r>
      <w:r>
        <w:rPr>
          <w:rFonts w:ascii="Sylfaen" w:hAnsi="Sylfaen"/>
          <w:szCs w:val="24"/>
        </w:rPr>
        <w:t>, i</w:t>
      </w:r>
      <w:r w:rsidR="0021422F">
        <w:rPr>
          <w:rFonts w:ascii="Sylfaen" w:hAnsi="Sylfaen"/>
          <w:szCs w:val="24"/>
        </w:rPr>
        <w:t xml:space="preserve">n many cases, IPMPC members collect data for medical or scientific research that includes information that member companies do not and could not link with a specific person. </w:t>
      </w:r>
      <w:r>
        <w:rPr>
          <w:rFonts w:ascii="Sylfaen" w:hAnsi="Sylfaen"/>
          <w:szCs w:val="24"/>
        </w:rPr>
        <w:t xml:space="preserve">For example, an IPMPC member company might be engaged in epidemiological research to understand the scope and </w:t>
      </w:r>
      <w:r w:rsidR="00080AAC">
        <w:rPr>
          <w:rFonts w:ascii="Sylfaen" w:hAnsi="Sylfaen"/>
          <w:szCs w:val="24"/>
        </w:rPr>
        <w:t>course</w:t>
      </w:r>
      <w:r>
        <w:rPr>
          <w:rFonts w:ascii="Sylfaen" w:hAnsi="Sylfaen"/>
          <w:szCs w:val="24"/>
        </w:rPr>
        <w:t xml:space="preserve"> of a rapidly emerging and spreading disease. To better understand where the condition has originated and how it is being treated, an IPMPC member company might partner with a public health or health care organization</w:t>
      </w:r>
      <w:r w:rsidR="00080AAC">
        <w:rPr>
          <w:rFonts w:ascii="Sylfaen" w:hAnsi="Sylfaen"/>
          <w:szCs w:val="24"/>
        </w:rPr>
        <w:t xml:space="preserve"> </w:t>
      </w:r>
      <w:r w:rsidR="00A7006F">
        <w:rPr>
          <w:rFonts w:ascii="Sylfaen" w:hAnsi="Sylfaen"/>
          <w:szCs w:val="24"/>
        </w:rPr>
        <w:t xml:space="preserve">that </w:t>
      </w:r>
      <w:r w:rsidR="00080AAC">
        <w:rPr>
          <w:rFonts w:ascii="Sylfaen" w:hAnsi="Sylfaen"/>
          <w:szCs w:val="24"/>
        </w:rPr>
        <w:t>has data about patient experiences and outcomes. To conduct its research and consistent with the ethical guidelines applicable in these scenarios, the IPMPC member would not receive this data in a</w:t>
      </w:r>
      <w:r w:rsidR="00E825B5">
        <w:rPr>
          <w:rFonts w:ascii="Sylfaen" w:hAnsi="Sylfaen"/>
          <w:szCs w:val="24"/>
        </w:rPr>
        <w:t xml:space="preserve"> reasonably</w:t>
      </w:r>
      <w:r w:rsidR="00080AAC">
        <w:rPr>
          <w:rFonts w:ascii="Sylfaen" w:hAnsi="Sylfaen"/>
          <w:szCs w:val="24"/>
        </w:rPr>
        <w:t xml:space="preserve"> identifiable format</w:t>
      </w:r>
      <w:r w:rsidR="00A7006F">
        <w:rPr>
          <w:rFonts w:ascii="Sylfaen" w:hAnsi="Sylfaen"/>
          <w:szCs w:val="24"/>
        </w:rPr>
        <w:t>. However, the data</w:t>
      </w:r>
      <w:r w:rsidR="00080AAC">
        <w:rPr>
          <w:rFonts w:ascii="Sylfaen" w:hAnsi="Sylfaen"/>
          <w:szCs w:val="24"/>
        </w:rPr>
        <w:t xml:space="preserve"> may contain information which appears on the list of data elements included in the definition of “personal information” under the CCPA</w:t>
      </w:r>
      <w:r w:rsidR="00E825B5">
        <w:rPr>
          <w:rFonts w:ascii="Sylfaen" w:hAnsi="Sylfaen"/>
          <w:szCs w:val="24"/>
        </w:rPr>
        <w:t xml:space="preserve"> “</w:t>
      </w:r>
      <w:r w:rsidR="00E825B5" w:rsidRPr="00E825B5">
        <w:rPr>
          <w:rFonts w:ascii="Sylfaen" w:hAnsi="Sylfaen"/>
          <w:szCs w:val="24"/>
        </w:rPr>
        <w:t>if it identifies, relates to, describes, is reasonably capable of being associated with, or could be reasonably linked, directly or indirectly, with a particular consumer or household</w:t>
      </w:r>
      <w:r w:rsidR="00E825B5">
        <w:rPr>
          <w:rFonts w:ascii="Sylfaen" w:hAnsi="Sylfaen"/>
          <w:szCs w:val="24"/>
        </w:rPr>
        <w:t xml:space="preserve">.” </w:t>
      </w:r>
      <w:r w:rsidR="007F211A">
        <w:rPr>
          <w:rFonts w:ascii="Sylfaen" w:hAnsi="Sylfaen"/>
          <w:szCs w:val="24"/>
        </w:rPr>
        <w:t xml:space="preserve">IPMPC members need clarity about how such </w:t>
      </w:r>
      <w:r w:rsidR="00E825B5">
        <w:rPr>
          <w:rFonts w:ascii="Sylfaen" w:hAnsi="Sylfaen"/>
          <w:szCs w:val="24"/>
        </w:rPr>
        <w:t xml:space="preserve">data elements </w:t>
      </w:r>
      <w:r w:rsidR="007F211A">
        <w:rPr>
          <w:rFonts w:ascii="Sylfaen" w:hAnsi="Sylfaen"/>
          <w:szCs w:val="24"/>
        </w:rPr>
        <w:t>should be treated</w:t>
      </w:r>
      <w:r w:rsidR="00E825B5">
        <w:rPr>
          <w:rFonts w:ascii="Sylfaen" w:hAnsi="Sylfaen"/>
          <w:szCs w:val="24"/>
        </w:rPr>
        <w:t xml:space="preserve"> where they are not reasonably identifiable but could possibly be viewed as “relating to” “particular” individuals.</w:t>
      </w:r>
      <w:r w:rsidR="00677E93">
        <w:rPr>
          <w:rFonts w:ascii="Sylfaen" w:hAnsi="Sylfaen"/>
          <w:szCs w:val="24"/>
        </w:rPr>
        <w:t xml:space="preserve"> </w:t>
      </w:r>
      <w:r w:rsidR="00E825B5">
        <w:rPr>
          <w:rFonts w:ascii="Sylfaen" w:hAnsi="Sylfaen"/>
          <w:szCs w:val="24"/>
        </w:rPr>
        <w:t>T</w:t>
      </w:r>
      <w:r w:rsidR="007F211A">
        <w:rPr>
          <w:rFonts w:ascii="Sylfaen" w:hAnsi="Sylfaen"/>
          <w:szCs w:val="24"/>
        </w:rPr>
        <w:t xml:space="preserve">he removal of the Attorney General’s interpretative statements creates uncertainty and confusion </w:t>
      </w:r>
      <w:r w:rsidR="007F211A">
        <w:rPr>
          <w:rFonts w:ascii="Sylfaen" w:hAnsi="Sylfaen"/>
          <w:szCs w:val="24"/>
        </w:rPr>
        <w:lastRenderedPageBreak/>
        <w:t xml:space="preserve">around an important issue affecting research relevant to the health and well-being of Californians. </w:t>
      </w:r>
    </w:p>
    <w:p w:rsidR="000A39BC" w:rsidRDefault="000A39BC" w:rsidP="0021422F">
      <w:pPr>
        <w:ind w:left="1440" w:hanging="1440"/>
        <w:rPr>
          <w:rFonts w:ascii="Sylfaen" w:hAnsi="Sylfaen"/>
          <w:szCs w:val="24"/>
        </w:rPr>
      </w:pPr>
      <w:r>
        <w:rPr>
          <w:rFonts w:ascii="Sylfaen" w:hAnsi="Sylfaen"/>
          <w:szCs w:val="24"/>
        </w:rPr>
        <w:tab/>
      </w:r>
    </w:p>
    <w:p w:rsidR="000A39BC" w:rsidRDefault="000A39BC" w:rsidP="0021422F">
      <w:pPr>
        <w:ind w:left="1440" w:hanging="1440"/>
        <w:rPr>
          <w:rFonts w:ascii="Sylfaen" w:hAnsi="Sylfaen"/>
          <w:szCs w:val="24"/>
        </w:rPr>
      </w:pPr>
      <w:r>
        <w:rPr>
          <w:rFonts w:ascii="Sylfaen" w:hAnsi="Sylfaen"/>
          <w:szCs w:val="24"/>
        </w:rPr>
        <w:tab/>
      </w:r>
      <w:r w:rsidR="007F211A">
        <w:rPr>
          <w:rFonts w:ascii="Sylfaen" w:hAnsi="Sylfaen"/>
          <w:szCs w:val="24"/>
        </w:rPr>
        <w:t xml:space="preserve">As noted before, the IPMPC believes that a clarifying </w:t>
      </w:r>
      <w:r>
        <w:rPr>
          <w:rFonts w:ascii="Sylfaen" w:hAnsi="Sylfaen"/>
          <w:szCs w:val="24"/>
        </w:rPr>
        <w:t xml:space="preserve">statement about what information should be considered either </w:t>
      </w:r>
      <w:proofErr w:type="spellStart"/>
      <w:r w:rsidR="00F94B2C">
        <w:rPr>
          <w:rFonts w:ascii="Sylfaen" w:hAnsi="Sylfaen"/>
          <w:szCs w:val="24"/>
        </w:rPr>
        <w:t>deidentified</w:t>
      </w:r>
      <w:proofErr w:type="spellEnd"/>
      <w:r w:rsidR="00F94B2C">
        <w:rPr>
          <w:rFonts w:ascii="Sylfaen" w:hAnsi="Sylfaen"/>
          <w:szCs w:val="24"/>
        </w:rPr>
        <w:t xml:space="preserve"> or not personal information would be helpful. </w:t>
      </w:r>
      <w:r w:rsidR="007F211A">
        <w:rPr>
          <w:rFonts w:ascii="Sylfaen" w:hAnsi="Sylfaen"/>
          <w:szCs w:val="24"/>
        </w:rPr>
        <w:t>T</w:t>
      </w:r>
      <w:r w:rsidR="00F94B2C">
        <w:rPr>
          <w:rFonts w:ascii="Sylfaen" w:hAnsi="Sylfaen"/>
          <w:szCs w:val="24"/>
        </w:rPr>
        <w:t xml:space="preserve">he IPMPC </w:t>
      </w:r>
      <w:r w:rsidR="007F211A">
        <w:rPr>
          <w:rFonts w:ascii="Sylfaen" w:hAnsi="Sylfaen"/>
          <w:szCs w:val="24"/>
        </w:rPr>
        <w:t>continues to urge</w:t>
      </w:r>
      <w:r w:rsidR="00F94B2C">
        <w:rPr>
          <w:rFonts w:ascii="Sylfaen" w:hAnsi="Sylfaen"/>
          <w:szCs w:val="24"/>
        </w:rPr>
        <w:t xml:space="preserve"> the Attorney General to make it clear that information which has been </w:t>
      </w:r>
      <w:proofErr w:type="spellStart"/>
      <w:r w:rsidR="00F94B2C">
        <w:rPr>
          <w:rFonts w:ascii="Sylfaen" w:hAnsi="Sylfaen"/>
          <w:szCs w:val="24"/>
        </w:rPr>
        <w:t>deidentified</w:t>
      </w:r>
      <w:proofErr w:type="spellEnd"/>
      <w:r w:rsidR="00F94B2C">
        <w:rPr>
          <w:rFonts w:ascii="Sylfaen" w:hAnsi="Sylfaen"/>
          <w:szCs w:val="24"/>
        </w:rPr>
        <w:t xml:space="preserve"> using a process described in federal regulations (like the HIPAA </w:t>
      </w:r>
      <w:proofErr w:type="spellStart"/>
      <w:r w:rsidR="00F94B2C">
        <w:rPr>
          <w:rFonts w:ascii="Sylfaen" w:hAnsi="Sylfaen"/>
          <w:szCs w:val="24"/>
        </w:rPr>
        <w:t>deidentification</w:t>
      </w:r>
      <w:proofErr w:type="spellEnd"/>
      <w:r w:rsidR="00F94B2C">
        <w:rPr>
          <w:rFonts w:ascii="Sylfaen" w:hAnsi="Sylfaen"/>
          <w:szCs w:val="24"/>
        </w:rPr>
        <w:t xml:space="preserve"> standards) will be considered </w:t>
      </w:r>
      <w:proofErr w:type="spellStart"/>
      <w:r w:rsidR="00F94B2C">
        <w:rPr>
          <w:rFonts w:ascii="Sylfaen" w:hAnsi="Sylfaen"/>
          <w:szCs w:val="24"/>
        </w:rPr>
        <w:t>deidentified</w:t>
      </w:r>
      <w:proofErr w:type="spellEnd"/>
      <w:r w:rsidR="00F94B2C">
        <w:rPr>
          <w:rFonts w:ascii="Sylfaen" w:hAnsi="Sylfaen"/>
          <w:szCs w:val="24"/>
        </w:rPr>
        <w:t xml:space="preserve"> for the purposes of the CCPA. </w:t>
      </w:r>
    </w:p>
    <w:p w:rsidR="00C11F67" w:rsidRDefault="00843000" w:rsidP="007E19DE">
      <w:pPr>
        <w:ind w:left="1440" w:hanging="1440"/>
        <w:rPr>
          <w:rFonts w:ascii="Sylfaen" w:hAnsi="Sylfaen"/>
          <w:szCs w:val="24"/>
        </w:rPr>
      </w:pPr>
      <w:r>
        <w:rPr>
          <w:rFonts w:ascii="Sylfaen" w:hAnsi="Sylfaen"/>
          <w:szCs w:val="24"/>
        </w:rPr>
        <w:tab/>
      </w:r>
    </w:p>
    <w:p w:rsidR="00175972" w:rsidRDefault="001C44D6" w:rsidP="007E19DE">
      <w:pPr>
        <w:ind w:left="1440" w:hanging="1440"/>
        <w:rPr>
          <w:rFonts w:ascii="Sylfaen" w:hAnsi="Sylfaen"/>
          <w:szCs w:val="24"/>
        </w:rPr>
      </w:pPr>
      <w:r>
        <w:rPr>
          <w:rFonts w:ascii="Sylfaen" w:hAnsi="Sylfaen"/>
          <w:szCs w:val="24"/>
        </w:rPr>
        <w:t>§ _.308(c)</w:t>
      </w:r>
      <w:r>
        <w:rPr>
          <w:rFonts w:ascii="Sylfaen" w:hAnsi="Sylfaen"/>
          <w:szCs w:val="24"/>
        </w:rPr>
        <w:tab/>
        <w:t>In both § 999.308(c)(1)(d) and (2)(d), the proposed regulations call for the inclusion of a “general” description of the verification process that will be used when a consumer seeks to exercise their rights. However, the verification process used may vary significantly depending on who the consumer is, what information the business has about the consumer,</w:t>
      </w:r>
      <w:r w:rsidR="00175972">
        <w:rPr>
          <w:rFonts w:ascii="Sylfaen" w:hAnsi="Sylfaen"/>
          <w:szCs w:val="24"/>
        </w:rPr>
        <w:t xml:space="preserve"> the nature of the relationship between the business and consumer,</w:t>
      </w:r>
      <w:r>
        <w:rPr>
          <w:rFonts w:ascii="Sylfaen" w:hAnsi="Sylfaen"/>
          <w:szCs w:val="24"/>
        </w:rPr>
        <w:t xml:space="preserve"> and the standard that needs to be satisfied to “verify” the consumer</w:t>
      </w:r>
      <w:r w:rsidR="00186B11">
        <w:rPr>
          <w:rFonts w:ascii="Sylfaen" w:hAnsi="Sylfaen"/>
          <w:szCs w:val="24"/>
        </w:rPr>
        <w:t xml:space="preserve"> based on the data possessed by the </w:t>
      </w:r>
      <w:r w:rsidR="00645EE7">
        <w:rPr>
          <w:rFonts w:ascii="Sylfaen" w:hAnsi="Sylfaen"/>
          <w:szCs w:val="24"/>
        </w:rPr>
        <w:t>business</w:t>
      </w:r>
      <w:r>
        <w:rPr>
          <w:rFonts w:ascii="Sylfaen" w:hAnsi="Sylfaen"/>
          <w:szCs w:val="24"/>
        </w:rPr>
        <w:t>.</w:t>
      </w:r>
      <w:r w:rsidR="00175972">
        <w:rPr>
          <w:rFonts w:ascii="Sylfaen" w:hAnsi="Sylfaen"/>
          <w:szCs w:val="24"/>
        </w:rPr>
        <w:t xml:space="preserve"> </w:t>
      </w:r>
      <w:r>
        <w:rPr>
          <w:rFonts w:ascii="Sylfaen" w:hAnsi="Sylfaen"/>
          <w:szCs w:val="24"/>
        </w:rPr>
        <w:t>The IPMPC believes that even with the addition of the modifier “general,” the requirement to describe the process used to</w:t>
      </w:r>
      <w:r w:rsidR="00B407BE">
        <w:rPr>
          <w:rFonts w:ascii="Sylfaen" w:hAnsi="Sylfaen"/>
          <w:szCs w:val="24"/>
        </w:rPr>
        <w:t xml:space="preserve"> verify the consumer presents significant practical challenges. </w:t>
      </w:r>
      <w:r w:rsidR="00175972">
        <w:rPr>
          <w:rFonts w:ascii="Sylfaen" w:hAnsi="Sylfaen"/>
          <w:szCs w:val="24"/>
        </w:rPr>
        <w:t>For example, verifying the identity of a patient-support program participant, where a member company may have repeated interactions over a period of years</w:t>
      </w:r>
      <w:r w:rsidR="00186B11">
        <w:rPr>
          <w:rFonts w:ascii="Sylfaen" w:hAnsi="Sylfaen"/>
          <w:szCs w:val="24"/>
        </w:rPr>
        <w:t xml:space="preserve"> and the data includes sensitive health information</w:t>
      </w:r>
      <w:r w:rsidR="00175972">
        <w:rPr>
          <w:rFonts w:ascii="Sylfaen" w:hAnsi="Sylfaen"/>
          <w:szCs w:val="24"/>
        </w:rPr>
        <w:t xml:space="preserve">, will follow a different process than verifying the identity of a consumer who signed up for a mailing list, but otherwise has no interaction with the company. </w:t>
      </w:r>
    </w:p>
    <w:p w:rsidR="00175972" w:rsidRDefault="00175972" w:rsidP="007E19DE">
      <w:pPr>
        <w:ind w:left="1440" w:hanging="1440"/>
        <w:rPr>
          <w:rFonts w:ascii="Sylfaen" w:hAnsi="Sylfaen"/>
          <w:szCs w:val="24"/>
        </w:rPr>
      </w:pPr>
    </w:p>
    <w:p w:rsidR="001C44D6" w:rsidRDefault="00175972" w:rsidP="007E19DE">
      <w:pPr>
        <w:ind w:left="1440" w:hanging="1440"/>
        <w:rPr>
          <w:rFonts w:ascii="Sylfaen" w:hAnsi="Sylfaen"/>
          <w:szCs w:val="24"/>
        </w:rPr>
      </w:pPr>
      <w:r>
        <w:rPr>
          <w:rFonts w:ascii="Sylfaen" w:hAnsi="Sylfaen"/>
          <w:szCs w:val="24"/>
        </w:rPr>
        <w:tab/>
      </w:r>
      <w:r w:rsidR="00B407BE">
        <w:rPr>
          <w:rFonts w:ascii="Sylfaen" w:hAnsi="Sylfaen"/>
          <w:szCs w:val="24"/>
        </w:rPr>
        <w:t xml:space="preserve">Consumers should be informed that there will be a verification process, but providing a description of that process that applies to all consumers </w:t>
      </w:r>
      <w:r>
        <w:rPr>
          <w:rFonts w:ascii="Sylfaen" w:hAnsi="Sylfaen"/>
          <w:szCs w:val="24"/>
        </w:rPr>
        <w:t xml:space="preserve">will </w:t>
      </w:r>
      <w:r w:rsidR="00F47599">
        <w:rPr>
          <w:rFonts w:ascii="Sylfaen" w:hAnsi="Sylfaen"/>
          <w:szCs w:val="24"/>
        </w:rPr>
        <w:t>require either</w:t>
      </w:r>
      <w:r>
        <w:rPr>
          <w:rFonts w:ascii="Sylfaen" w:hAnsi="Sylfaen"/>
          <w:szCs w:val="24"/>
        </w:rPr>
        <w:t xml:space="preserve"> the use of unhelpful generic statements or </w:t>
      </w:r>
      <w:r w:rsidR="00186B11">
        <w:rPr>
          <w:rFonts w:ascii="Sylfaen" w:hAnsi="Sylfaen"/>
          <w:szCs w:val="24"/>
        </w:rPr>
        <w:t xml:space="preserve">presenting descriptions of several possible processes, most of which the consumer will not encounter. </w:t>
      </w:r>
      <w:r w:rsidR="00F47599">
        <w:rPr>
          <w:rFonts w:ascii="Sylfaen" w:hAnsi="Sylfaen"/>
          <w:szCs w:val="24"/>
        </w:rPr>
        <w:t xml:space="preserve">At a minimum, the requirement to describe the process should be moved to the first response to the consumer acknowledging their request, at which point the business may have a better idea of the nature of the process that will be </w:t>
      </w:r>
      <w:r w:rsidR="00E52820">
        <w:rPr>
          <w:rFonts w:ascii="Sylfaen" w:hAnsi="Sylfaen"/>
          <w:szCs w:val="24"/>
        </w:rPr>
        <w:t>required for that consumer</w:t>
      </w:r>
      <w:r w:rsidR="00F47599">
        <w:rPr>
          <w:rFonts w:ascii="Sylfaen" w:hAnsi="Sylfaen"/>
          <w:szCs w:val="24"/>
        </w:rPr>
        <w:t xml:space="preserve">. </w:t>
      </w:r>
    </w:p>
    <w:p w:rsidR="00645EE7" w:rsidRDefault="00645EE7" w:rsidP="007E19DE">
      <w:pPr>
        <w:ind w:left="1440" w:hanging="1440"/>
        <w:rPr>
          <w:rFonts w:ascii="Sylfaen" w:hAnsi="Sylfaen"/>
          <w:szCs w:val="24"/>
        </w:rPr>
      </w:pPr>
    </w:p>
    <w:p w:rsidR="009D5BDF" w:rsidRDefault="000E07B3" w:rsidP="00FA0923">
      <w:pPr>
        <w:ind w:left="1440" w:hanging="1440"/>
        <w:rPr>
          <w:rFonts w:ascii="Sylfaen" w:hAnsi="Sylfaen"/>
          <w:szCs w:val="24"/>
        </w:rPr>
      </w:pPr>
      <w:r>
        <w:rPr>
          <w:rFonts w:ascii="Sylfaen" w:hAnsi="Sylfaen"/>
          <w:szCs w:val="24"/>
        </w:rPr>
        <w:t>§ _.313(c</w:t>
      </w:r>
      <w:proofErr w:type="gramStart"/>
      <w:r>
        <w:rPr>
          <w:rFonts w:ascii="Sylfaen" w:hAnsi="Sylfaen"/>
          <w:szCs w:val="24"/>
        </w:rPr>
        <w:t>)</w:t>
      </w:r>
      <w:r w:rsidR="008C323A">
        <w:rPr>
          <w:rFonts w:ascii="Sylfaen" w:hAnsi="Sylfaen"/>
          <w:szCs w:val="24"/>
        </w:rPr>
        <w:t>(</w:t>
      </w:r>
      <w:proofErr w:type="gramEnd"/>
      <w:r w:rsidR="008C323A">
        <w:rPr>
          <w:rFonts w:ascii="Sylfaen" w:hAnsi="Sylfaen"/>
          <w:szCs w:val="24"/>
        </w:rPr>
        <w:t>3)</w:t>
      </w:r>
      <w:r w:rsidR="0084695F">
        <w:rPr>
          <w:rFonts w:ascii="Sylfaen" w:hAnsi="Sylfaen"/>
          <w:szCs w:val="24"/>
        </w:rPr>
        <w:tab/>
        <w:t xml:space="preserve">The IPMPC </w:t>
      </w:r>
      <w:r w:rsidR="00351C6C">
        <w:rPr>
          <w:rFonts w:ascii="Sylfaen" w:hAnsi="Sylfaen"/>
          <w:szCs w:val="24"/>
        </w:rPr>
        <w:t xml:space="preserve">continues to </w:t>
      </w:r>
      <w:r w:rsidR="00C519BC">
        <w:rPr>
          <w:rFonts w:ascii="Sylfaen" w:hAnsi="Sylfaen"/>
          <w:szCs w:val="24"/>
        </w:rPr>
        <w:t xml:space="preserve">urge the Attorney General to reconsider the deletion of </w:t>
      </w:r>
      <w:r w:rsidR="00351C6C">
        <w:rPr>
          <w:rFonts w:ascii="Sylfaen" w:hAnsi="Sylfaen"/>
          <w:szCs w:val="24"/>
        </w:rPr>
        <w:t xml:space="preserve">text from the original draft </w:t>
      </w:r>
      <w:r w:rsidR="00645EE7">
        <w:rPr>
          <w:rFonts w:ascii="Sylfaen" w:hAnsi="Sylfaen"/>
          <w:szCs w:val="24"/>
        </w:rPr>
        <w:t>regulations that</w:t>
      </w:r>
      <w:r w:rsidR="00C519BC">
        <w:rPr>
          <w:rFonts w:ascii="Sylfaen" w:hAnsi="Sylfaen"/>
          <w:szCs w:val="24"/>
        </w:rPr>
        <w:t xml:space="preserve"> occurred in the February draft.</w:t>
      </w:r>
      <w:r w:rsidR="00351C6C">
        <w:rPr>
          <w:rFonts w:ascii="Sylfaen" w:hAnsi="Sylfaen"/>
          <w:szCs w:val="24"/>
        </w:rPr>
        <w:t xml:space="preserve"> This text was not restored in the most recent draft.</w:t>
      </w:r>
      <w:r w:rsidR="00C519BC">
        <w:rPr>
          <w:rFonts w:ascii="Sylfaen" w:hAnsi="Sylfaen"/>
          <w:szCs w:val="24"/>
        </w:rPr>
        <w:t xml:space="preserve"> The IPMPC previously commented on this deletion but wishes to reiterate that </w:t>
      </w:r>
      <w:r w:rsidR="00FA0923">
        <w:rPr>
          <w:rFonts w:ascii="Sylfaen" w:hAnsi="Sylfaen"/>
          <w:szCs w:val="24"/>
        </w:rPr>
        <w:t xml:space="preserve">the Attorney General would best serve </w:t>
      </w:r>
      <w:r w:rsidR="00FA0923">
        <w:rPr>
          <w:rFonts w:ascii="Sylfaen" w:hAnsi="Sylfaen"/>
          <w:szCs w:val="24"/>
        </w:rPr>
        <w:lastRenderedPageBreak/>
        <w:t xml:space="preserve">Californians by </w:t>
      </w:r>
      <w:r w:rsidR="008C323A">
        <w:rPr>
          <w:rFonts w:ascii="Sylfaen" w:hAnsi="Sylfaen"/>
          <w:szCs w:val="24"/>
        </w:rPr>
        <w:t xml:space="preserve">more explicitly </w:t>
      </w:r>
      <w:r w:rsidR="00FA0923">
        <w:rPr>
          <w:rFonts w:ascii="Sylfaen" w:hAnsi="Sylfaen"/>
          <w:szCs w:val="24"/>
        </w:rPr>
        <w:t xml:space="preserve">permitting businesses to withhold information when disclosure would put other consumer’s personal information or the business itself at risk. The initial draft of the regulations </w:t>
      </w:r>
      <w:r w:rsidR="00ED0174">
        <w:rPr>
          <w:rFonts w:ascii="Sylfaen" w:hAnsi="Sylfaen"/>
          <w:szCs w:val="24"/>
        </w:rPr>
        <w:t xml:space="preserve">appropriately provided further clarity around </w:t>
      </w:r>
      <w:r w:rsidR="00FA1CAB">
        <w:rPr>
          <w:rFonts w:ascii="Sylfaen" w:hAnsi="Sylfaen"/>
          <w:szCs w:val="24"/>
        </w:rPr>
        <w:t>Civil Code 1790.145(l)</w:t>
      </w:r>
      <w:r w:rsidR="00FA0923">
        <w:rPr>
          <w:rFonts w:ascii="Sylfaen" w:hAnsi="Sylfaen"/>
          <w:szCs w:val="24"/>
        </w:rPr>
        <w:t xml:space="preserve">. The current draft of the regulations </w:t>
      </w:r>
      <w:r w:rsidR="00FA1CAB">
        <w:rPr>
          <w:rFonts w:ascii="Sylfaen" w:hAnsi="Sylfaen"/>
          <w:szCs w:val="24"/>
        </w:rPr>
        <w:t>creates unnecessary uncertainty as to whether a</w:t>
      </w:r>
      <w:r w:rsidR="00FA0923">
        <w:rPr>
          <w:rFonts w:ascii="Sylfaen" w:hAnsi="Sylfaen"/>
          <w:szCs w:val="24"/>
        </w:rPr>
        <w:t xml:space="preserve"> business </w:t>
      </w:r>
      <w:r w:rsidR="00FA1CAB">
        <w:rPr>
          <w:rFonts w:ascii="Sylfaen" w:hAnsi="Sylfaen"/>
          <w:szCs w:val="24"/>
        </w:rPr>
        <w:t xml:space="preserve">is permitted to decline to </w:t>
      </w:r>
      <w:r w:rsidR="00FA0923">
        <w:rPr>
          <w:rFonts w:ascii="Sylfaen" w:hAnsi="Sylfaen"/>
          <w:szCs w:val="24"/>
        </w:rPr>
        <w:t xml:space="preserve">disclose information to consumers when </w:t>
      </w:r>
      <w:r w:rsidR="00641971">
        <w:rPr>
          <w:rFonts w:ascii="Sylfaen" w:hAnsi="Sylfaen"/>
          <w:szCs w:val="24"/>
        </w:rPr>
        <w:t xml:space="preserve">it </w:t>
      </w:r>
      <w:r w:rsidR="00677E93" w:rsidRPr="00677E93">
        <w:rPr>
          <w:rFonts w:ascii="Sylfaen" w:hAnsi="Sylfaen"/>
          <w:szCs w:val="24"/>
        </w:rPr>
        <w:t>reasonably</w:t>
      </w:r>
      <w:r w:rsidR="00FA1CAB" w:rsidRPr="00677E93">
        <w:rPr>
          <w:rFonts w:ascii="Sylfaen" w:hAnsi="Sylfaen"/>
          <w:szCs w:val="24"/>
        </w:rPr>
        <w:t xml:space="preserve"> believe</w:t>
      </w:r>
      <w:r w:rsidR="00641971">
        <w:rPr>
          <w:rFonts w:ascii="Sylfaen" w:hAnsi="Sylfaen"/>
          <w:szCs w:val="24"/>
        </w:rPr>
        <w:t>s</w:t>
      </w:r>
      <w:r w:rsidR="00FA1CAB" w:rsidRPr="00677E93">
        <w:rPr>
          <w:rFonts w:ascii="Sylfaen" w:hAnsi="Sylfaen"/>
          <w:szCs w:val="24"/>
        </w:rPr>
        <w:t xml:space="preserve"> </w:t>
      </w:r>
      <w:r w:rsidR="00FA0923">
        <w:rPr>
          <w:rFonts w:ascii="Sylfaen" w:hAnsi="Sylfaen"/>
          <w:szCs w:val="24"/>
        </w:rPr>
        <w:t>that disclosure creates a risk of harm for other consumers or the business’s employees</w:t>
      </w:r>
      <w:r>
        <w:rPr>
          <w:rFonts w:ascii="Sylfaen" w:hAnsi="Sylfaen"/>
          <w:szCs w:val="24"/>
        </w:rPr>
        <w:t>—</w:t>
      </w:r>
      <w:r w:rsidR="00246D4A">
        <w:rPr>
          <w:rFonts w:ascii="Sylfaen" w:hAnsi="Sylfaen"/>
          <w:szCs w:val="24"/>
        </w:rPr>
        <w:t>for example, where disclosure of negative</w:t>
      </w:r>
      <w:r w:rsidR="002C4CA1">
        <w:rPr>
          <w:rFonts w:ascii="Sylfaen" w:hAnsi="Sylfaen"/>
          <w:szCs w:val="24"/>
        </w:rPr>
        <w:t xml:space="preserve"> profile</w:t>
      </w:r>
      <w:r w:rsidR="00246D4A">
        <w:rPr>
          <w:rFonts w:ascii="Sylfaen" w:hAnsi="Sylfaen"/>
          <w:szCs w:val="24"/>
        </w:rPr>
        <w:t xml:space="preserve"> information might cause retaliation or harassment</w:t>
      </w:r>
      <w:r w:rsidR="00FA0923">
        <w:rPr>
          <w:rFonts w:ascii="Sylfaen" w:hAnsi="Sylfaen"/>
          <w:szCs w:val="24"/>
        </w:rPr>
        <w:t xml:space="preserve">. </w:t>
      </w:r>
      <w:r w:rsidR="00641971">
        <w:rPr>
          <w:rFonts w:ascii="Sylfaen" w:hAnsi="Sylfaen"/>
          <w:szCs w:val="24"/>
        </w:rPr>
        <w:t xml:space="preserve">Such a standard is reasonable and consistent with other privacy and data protection regimes. </w:t>
      </w:r>
    </w:p>
    <w:p w:rsidR="000E07B3" w:rsidRDefault="000E07B3" w:rsidP="00FA0923">
      <w:pPr>
        <w:ind w:left="1440" w:hanging="1440"/>
        <w:rPr>
          <w:rFonts w:ascii="Sylfaen" w:hAnsi="Sylfaen"/>
          <w:szCs w:val="24"/>
        </w:rPr>
      </w:pPr>
    </w:p>
    <w:p w:rsidR="000E07B3" w:rsidRDefault="000E07B3" w:rsidP="00FA0923">
      <w:pPr>
        <w:ind w:left="1440" w:hanging="1440"/>
        <w:rPr>
          <w:rFonts w:ascii="Sylfaen" w:hAnsi="Sylfaen"/>
          <w:szCs w:val="24"/>
        </w:rPr>
      </w:pPr>
      <w:r>
        <w:rPr>
          <w:rFonts w:ascii="Sylfaen" w:hAnsi="Sylfaen"/>
          <w:szCs w:val="24"/>
        </w:rPr>
        <w:t>§ _.</w:t>
      </w:r>
      <w:proofErr w:type="gramStart"/>
      <w:r>
        <w:rPr>
          <w:rFonts w:ascii="Sylfaen" w:hAnsi="Sylfaen"/>
          <w:szCs w:val="24"/>
        </w:rPr>
        <w:t>313(</w:t>
      </w:r>
      <w:proofErr w:type="gramEnd"/>
      <w:r>
        <w:rPr>
          <w:rFonts w:ascii="Sylfaen" w:hAnsi="Sylfaen"/>
          <w:szCs w:val="24"/>
        </w:rPr>
        <w:t>d)</w:t>
      </w:r>
      <w:r w:rsidR="00651547">
        <w:rPr>
          <w:rFonts w:ascii="Sylfaen" w:hAnsi="Sylfaen"/>
          <w:szCs w:val="24"/>
        </w:rPr>
        <w:t>(7</w:t>
      </w:r>
      <w:r>
        <w:rPr>
          <w:rFonts w:ascii="Sylfaen" w:hAnsi="Sylfaen"/>
          <w:szCs w:val="24"/>
        </w:rPr>
        <w:t>)</w:t>
      </w:r>
      <w:r>
        <w:rPr>
          <w:rFonts w:ascii="Sylfaen" w:hAnsi="Sylfaen"/>
          <w:szCs w:val="24"/>
        </w:rPr>
        <w:tab/>
        <w:t xml:space="preserve">The IPMPC </w:t>
      </w:r>
      <w:r w:rsidR="00651547">
        <w:rPr>
          <w:rFonts w:ascii="Sylfaen" w:hAnsi="Sylfaen"/>
          <w:szCs w:val="24"/>
        </w:rPr>
        <w:t>opposes the</w:t>
      </w:r>
      <w:r>
        <w:rPr>
          <w:rFonts w:ascii="Sylfaen" w:hAnsi="Sylfaen"/>
          <w:szCs w:val="24"/>
        </w:rPr>
        <w:t xml:space="preserve"> requirement to offer unverified consumers the option of opting out of the sale of information. In many instances where verification cannot occur, the business will also lack the necessary information to implement an effective opt-out. Requiring that the business offer an opt-out it could not deliver would lead to consumer frustration</w:t>
      </w:r>
      <w:r w:rsidR="00641971">
        <w:rPr>
          <w:rFonts w:ascii="Sylfaen" w:hAnsi="Sylfaen"/>
          <w:szCs w:val="24"/>
        </w:rPr>
        <w:t xml:space="preserve"> without delivering tangible benefit to consumers.</w:t>
      </w:r>
    </w:p>
    <w:p w:rsidR="00831749" w:rsidRDefault="00831749" w:rsidP="007F1F61">
      <w:pPr>
        <w:ind w:left="1440" w:hanging="1440"/>
        <w:rPr>
          <w:rFonts w:ascii="Sylfaen" w:hAnsi="Sylfaen"/>
          <w:szCs w:val="24"/>
        </w:rPr>
      </w:pPr>
    </w:p>
    <w:p w:rsidR="00831749" w:rsidRDefault="007655AA" w:rsidP="007F1F61">
      <w:pPr>
        <w:ind w:left="1440" w:hanging="1440"/>
        <w:rPr>
          <w:rFonts w:ascii="Sylfaen" w:hAnsi="Sylfaen"/>
          <w:szCs w:val="24"/>
        </w:rPr>
      </w:pPr>
      <w:r>
        <w:rPr>
          <w:rFonts w:ascii="Sylfaen" w:hAnsi="Sylfaen"/>
          <w:szCs w:val="24"/>
        </w:rPr>
        <w:t>§ _.317(e)</w:t>
      </w:r>
      <w:r>
        <w:rPr>
          <w:rFonts w:ascii="Sylfaen" w:hAnsi="Sylfaen"/>
          <w:szCs w:val="24"/>
        </w:rPr>
        <w:tab/>
        <w:t>The IPM</w:t>
      </w:r>
      <w:r w:rsidR="00AF619B">
        <w:rPr>
          <w:rFonts w:ascii="Sylfaen" w:hAnsi="Sylfaen"/>
          <w:szCs w:val="24"/>
        </w:rPr>
        <w:t>P</w:t>
      </w:r>
      <w:r>
        <w:rPr>
          <w:rFonts w:ascii="Sylfaen" w:hAnsi="Sylfaen"/>
          <w:szCs w:val="24"/>
        </w:rPr>
        <w:t xml:space="preserve">C </w:t>
      </w:r>
      <w:r w:rsidR="00E923F6">
        <w:rPr>
          <w:rFonts w:ascii="Sylfaen" w:hAnsi="Sylfaen"/>
          <w:szCs w:val="24"/>
        </w:rPr>
        <w:t>appreciates</w:t>
      </w:r>
      <w:r w:rsidR="009C3819">
        <w:rPr>
          <w:rFonts w:ascii="Sylfaen" w:hAnsi="Sylfaen"/>
          <w:szCs w:val="24"/>
        </w:rPr>
        <w:t xml:space="preserve"> </w:t>
      </w:r>
      <w:r>
        <w:rPr>
          <w:rFonts w:ascii="Sylfaen" w:hAnsi="Sylfaen"/>
          <w:szCs w:val="24"/>
        </w:rPr>
        <w:t xml:space="preserve">that the Attorney General </w:t>
      </w:r>
      <w:r w:rsidR="00DA6924">
        <w:rPr>
          <w:rFonts w:ascii="Sylfaen" w:hAnsi="Sylfaen"/>
          <w:szCs w:val="24"/>
        </w:rPr>
        <w:t>revise</w:t>
      </w:r>
      <w:r w:rsidR="00E923F6">
        <w:rPr>
          <w:rFonts w:ascii="Sylfaen" w:hAnsi="Sylfaen"/>
          <w:szCs w:val="24"/>
        </w:rPr>
        <w:t>d</w:t>
      </w:r>
      <w:r w:rsidR="00DA6924">
        <w:rPr>
          <w:rFonts w:ascii="Sylfaen" w:hAnsi="Sylfaen"/>
          <w:szCs w:val="24"/>
        </w:rPr>
        <w:t xml:space="preserve"> </w:t>
      </w:r>
      <w:r>
        <w:rPr>
          <w:rFonts w:ascii="Sylfaen" w:hAnsi="Sylfaen"/>
          <w:szCs w:val="24"/>
        </w:rPr>
        <w:t>the restriction on sharing record-keeping information with third parties</w:t>
      </w:r>
      <w:r w:rsidR="00E923F6">
        <w:rPr>
          <w:rFonts w:ascii="Sylfaen" w:hAnsi="Sylfaen"/>
          <w:szCs w:val="24"/>
        </w:rPr>
        <w:t xml:space="preserve"> to </w:t>
      </w:r>
      <w:r w:rsidR="00075AF5">
        <w:rPr>
          <w:rFonts w:ascii="Sylfaen" w:hAnsi="Sylfaen"/>
          <w:szCs w:val="24"/>
        </w:rPr>
        <w:t xml:space="preserve">explicitly </w:t>
      </w:r>
      <w:r w:rsidR="009D3C82">
        <w:rPr>
          <w:rFonts w:ascii="Sylfaen" w:hAnsi="Sylfaen"/>
          <w:szCs w:val="24"/>
        </w:rPr>
        <w:t xml:space="preserve">acknowledge that such information may be shared </w:t>
      </w:r>
      <w:r w:rsidR="00E923F6">
        <w:rPr>
          <w:rFonts w:ascii="Sylfaen" w:hAnsi="Sylfaen"/>
          <w:szCs w:val="24"/>
        </w:rPr>
        <w:t>where required by law</w:t>
      </w:r>
      <w:r w:rsidR="00FA1CAB">
        <w:rPr>
          <w:rFonts w:ascii="Sylfaen" w:hAnsi="Sylfaen"/>
          <w:szCs w:val="24"/>
        </w:rPr>
        <w:t>. Nevertheless, we</w:t>
      </w:r>
      <w:r w:rsidR="00A92979">
        <w:rPr>
          <w:rFonts w:ascii="Sylfaen" w:hAnsi="Sylfaen"/>
          <w:szCs w:val="24"/>
        </w:rPr>
        <w:t xml:space="preserve"> reiterate</w:t>
      </w:r>
      <w:r w:rsidR="00FA1CAB">
        <w:rPr>
          <w:rFonts w:ascii="Sylfaen" w:hAnsi="Sylfaen"/>
          <w:szCs w:val="24"/>
        </w:rPr>
        <w:t xml:space="preserve"> our</w:t>
      </w:r>
      <w:r w:rsidR="00A92979">
        <w:rPr>
          <w:rFonts w:ascii="Sylfaen" w:hAnsi="Sylfaen"/>
          <w:szCs w:val="24"/>
        </w:rPr>
        <w:t xml:space="preserve"> previous</w:t>
      </w:r>
      <w:r w:rsidR="00E923F6">
        <w:rPr>
          <w:rFonts w:ascii="Sylfaen" w:hAnsi="Sylfaen"/>
          <w:szCs w:val="24"/>
        </w:rPr>
        <w:t xml:space="preserve"> </w:t>
      </w:r>
      <w:r w:rsidR="00A92979">
        <w:rPr>
          <w:rFonts w:ascii="Sylfaen" w:hAnsi="Sylfaen"/>
          <w:szCs w:val="24"/>
        </w:rPr>
        <w:t>request that</w:t>
      </w:r>
      <w:r w:rsidR="00E923F6">
        <w:rPr>
          <w:rFonts w:ascii="Sylfaen" w:hAnsi="Sylfaen"/>
          <w:szCs w:val="24"/>
        </w:rPr>
        <w:t xml:space="preserve"> the Attorney General also make it clear that the information may be shared </w:t>
      </w:r>
      <w:r w:rsidR="009D3C82">
        <w:rPr>
          <w:rFonts w:ascii="Sylfaen" w:hAnsi="Sylfaen"/>
          <w:szCs w:val="24"/>
        </w:rPr>
        <w:t xml:space="preserve">when an </w:t>
      </w:r>
      <w:r w:rsidR="009A5C05">
        <w:rPr>
          <w:rFonts w:ascii="Sylfaen" w:hAnsi="Sylfaen"/>
          <w:szCs w:val="24"/>
        </w:rPr>
        <w:t>exception to the CCPA applies—</w:t>
      </w:r>
      <w:r w:rsidR="009D3C82">
        <w:rPr>
          <w:rFonts w:ascii="Sylfaen" w:hAnsi="Sylfaen"/>
          <w:szCs w:val="24"/>
        </w:rPr>
        <w:t xml:space="preserve">like in the course </w:t>
      </w:r>
      <w:r w:rsidR="00A92979">
        <w:rPr>
          <w:rFonts w:ascii="Sylfaen" w:hAnsi="Sylfaen"/>
          <w:szCs w:val="24"/>
        </w:rPr>
        <w:t xml:space="preserve">of defending a legal claim or when exercising an evidentiary privilege. </w:t>
      </w:r>
    </w:p>
    <w:p w:rsidR="00DA6924" w:rsidRDefault="00DA6924" w:rsidP="007F1F61">
      <w:pPr>
        <w:ind w:left="1440" w:hanging="1440"/>
        <w:rPr>
          <w:rFonts w:ascii="Sylfaen" w:hAnsi="Sylfaen"/>
          <w:szCs w:val="24"/>
        </w:rPr>
      </w:pPr>
    </w:p>
    <w:p w:rsidR="006B44D7" w:rsidRDefault="006B44D7" w:rsidP="00EF73EB">
      <w:pPr>
        <w:rPr>
          <w:rFonts w:ascii="Sylfaen" w:hAnsi="Sylfaen"/>
          <w:szCs w:val="24"/>
        </w:rPr>
      </w:pPr>
    </w:p>
    <w:p w:rsidR="00EF73EB" w:rsidRDefault="006B44D7" w:rsidP="00EF73EB">
      <w:pPr>
        <w:rPr>
          <w:rFonts w:ascii="Sylfaen" w:hAnsi="Sylfaen"/>
          <w:szCs w:val="24"/>
        </w:rPr>
      </w:pPr>
      <w:r>
        <w:rPr>
          <w:rFonts w:ascii="Sylfaen" w:hAnsi="Sylfaen"/>
          <w:szCs w:val="24"/>
        </w:rPr>
        <w:tab/>
      </w:r>
      <w:r w:rsidR="00EF73EB">
        <w:rPr>
          <w:rFonts w:ascii="Sylfaen" w:hAnsi="Sylfaen"/>
          <w:szCs w:val="24"/>
        </w:rPr>
        <w:t xml:space="preserve">We thank you for the opportunity to provide these comments. </w:t>
      </w:r>
    </w:p>
    <w:p w:rsidR="00EF73EB" w:rsidRDefault="00EF73EB" w:rsidP="00EF73EB">
      <w:pPr>
        <w:rPr>
          <w:rFonts w:ascii="Sylfaen" w:hAnsi="Sylfaen"/>
          <w:szCs w:val="24"/>
        </w:rPr>
      </w:pPr>
    </w:p>
    <w:p w:rsidR="00872F50" w:rsidRDefault="00872F50" w:rsidP="00872F50">
      <w:pPr>
        <w:ind w:left="5040"/>
        <w:rPr>
          <w:rFonts w:ascii="Sylfaen" w:hAnsi="Sylfaen"/>
        </w:rPr>
      </w:pPr>
      <w:r w:rsidRPr="00F85032">
        <w:rPr>
          <w:rFonts w:ascii="Sylfaen" w:hAnsi="Sylfaen"/>
        </w:rPr>
        <w:t>Sincerely,</w:t>
      </w:r>
    </w:p>
    <w:p w:rsidR="004446E9" w:rsidRDefault="004446E9" w:rsidP="00872F50">
      <w:pPr>
        <w:ind w:left="5040"/>
        <w:rPr>
          <w:rFonts w:ascii="Sylfaen" w:hAnsi="Sylfaen"/>
        </w:rPr>
      </w:pPr>
    </w:p>
    <w:p w:rsidR="004446E9" w:rsidRDefault="004446E9" w:rsidP="00872F50">
      <w:pPr>
        <w:ind w:left="5040"/>
        <w:rPr>
          <w:rFonts w:ascii="Sylfaen" w:hAnsi="Sylfaen"/>
        </w:rPr>
      </w:pPr>
      <w:r w:rsidRPr="004446E9">
        <w:rPr>
          <w:rFonts w:ascii="Sylfaen" w:hAnsi="Sylfaen"/>
          <w:noProof/>
        </w:rPr>
        <w:drawing>
          <wp:inline distT="0" distB="0" distL="0" distR="0" wp14:anchorId="6FDD65DF" wp14:editId="3F0E01AC">
            <wp:extent cx="1823085" cy="5429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053" cy="558997"/>
                    </a:xfrm>
                    <a:prstGeom prst="rect">
                      <a:avLst/>
                    </a:prstGeom>
                    <a:noFill/>
                    <a:ln>
                      <a:noFill/>
                    </a:ln>
                  </pic:spPr>
                </pic:pic>
              </a:graphicData>
            </a:graphic>
          </wp:inline>
        </w:drawing>
      </w:r>
    </w:p>
    <w:p w:rsidR="004446E9" w:rsidRDefault="004446E9" w:rsidP="00872F50">
      <w:pPr>
        <w:ind w:left="5040"/>
        <w:rPr>
          <w:rFonts w:ascii="Sylfaen" w:hAnsi="Sylfaen"/>
        </w:rPr>
      </w:pPr>
    </w:p>
    <w:p w:rsidR="004446E9" w:rsidRDefault="004446E9" w:rsidP="00872F50">
      <w:pPr>
        <w:ind w:left="5040"/>
        <w:rPr>
          <w:rFonts w:ascii="Sylfaen" w:hAnsi="Sylfaen"/>
        </w:rPr>
      </w:pPr>
      <w:r>
        <w:rPr>
          <w:rFonts w:ascii="Sylfaen" w:hAnsi="Sylfaen"/>
        </w:rPr>
        <w:t>Peter A. Blenkinsop</w:t>
      </w:r>
    </w:p>
    <w:p w:rsidR="00F41FF4" w:rsidRDefault="004446E9" w:rsidP="00872F50">
      <w:pPr>
        <w:ind w:left="5040"/>
        <w:rPr>
          <w:rFonts w:ascii="Sylfaen" w:hAnsi="Sylfaen"/>
        </w:rPr>
      </w:pPr>
      <w:r>
        <w:rPr>
          <w:rFonts w:ascii="Sylfaen" w:hAnsi="Sylfaen"/>
        </w:rPr>
        <w:t xml:space="preserve">IPMPC Secretariat </w:t>
      </w:r>
    </w:p>
    <w:p w:rsidR="009A026F" w:rsidRDefault="009A026F" w:rsidP="00872F50">
      <w:pPr>
        <w:ind w:left="5040"/>
        <w:rPr>
          <w:rFonts w:ascii="Sylfaen" w:hAnsi="Sylfaen"/>
        </w:rPr>
      </w:pPr>
    </w:p>
    <w:p w:rsidR="009A026F" w:rsidRDefault="009A026F" w:rsidP="00872F50">
      <w:pPr>
        <w:ind w:left="5040"/>
        <w:rPr>
          <w:rFonts w:ascii="Sylfaen" w:hAnsi="Sylfaen"/>
        </w:rPr>
        <w:sectPr w:rsidR="009A026F" w:rsidSect="00FE505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080" w:header="576" w:footer="765" w:gutter="0"/>
          <w:pgNumType w:start="1"/>
          <w:cols w:space="720"/>
          <w:titlePg/>
          <w:docGrid w:linePitch="326"/>
        </w:sectPr>
      </w:pPr>
    </w:p>
    <w:p w:rsidR="004446E9" w:rsidRDefault="00F41FF4" w:rsidP="00D455DE">
      <w:pPr>
        <w:jc w:val="center"/>
        <w:rPr>
          <w:rFonts w:ascii="Sylfaen" w:hAnsi="Sylfaen"/>
        </w:rPr>
      </w:pPr>
      <w:r>
        <w:rPr>
          <w:rFonts w:ascii="Sylfaen" w:hAnsi="Sylfaen"/>
        </w:rPr>
        <w:lastRenderedPageBreak/>
        <w:t>Appendix 1:</w:t>
      </w:r>
    </w:p>
    <w:p w:rsidR="00F41FF4" w:rsidRDefault="00F41FF4" w:rsidP="00D455DE">
      <w:pPr>
        <w:jc w:val="center"/>
        <w:rPr>
          <w:rFonts w:ascii="Sylfaen" w:hAnsi="Sylfaen"/>
        </w:rPr>
      </w:pPr>
    </w:p>
    <w:p w:rsidR="00F41FF4" w:rsidRDefault="00F41FF4" w:rsidP="00D455DE">
      <w:pPr>
        <w:jc w:val="center"/>
        <w:rPr>
          <w:rFonts w:ascii="Sylfaen" w:hAnsi="Sylfaen"/>
        </w:rPr>
      </w:pPr>
      <w:r>
        <w:rPr>
          <w:rFonts w:ascii="Sylfaen" w:hAnsi="Sylfaen"/>
        </w:rPr>
        <w:t>IPMPC Comments on Initial Proposed Regulations</w:t>
      </w:r>
    </w:p>
    <w:p w:rsidR="00F41FF4" w:rsidRDefault="00F41FF4" w:rsidP="00D455DE">
      <w:pPr>
        <w:jc w:val="center"/>
        <w:rPr>
          <w:rFonts w:ascii="Sylfaen" w:hAnsi="Sylfaen"/>
        </w:rPr>
      </w:pPr>
    </w:p>
    <w:p w:rsidR="00F41FF4" w:rsidRDefault="00F41FF4">
      <w:pPr>
        <w:rPr>
          <w:rFonts w:ascii="Sylfaen" w:hAnsi="Sylfaen"/>
        </w:rPr>
      </w:pPr>
      <w:r>
        <w:rPr>
          <w:rFonts w:ascii="Sylfaen" w:hAnsi="Sylfaen"/>
        </w:rPr>
        <w:br w:type="page"/>
      </w:r>
    </w:p>
    <w:p w:rsidR="00F41FF4" w:rsidRDefault="00F41FF4" w:rsidP="00D455DE">
      <w:pPr>
        <w:jc w:val="center"/>
        <w:rPr>
          <w:rFonts w:ascii="Sylfaen" w:hAnsi="Sylfaen"/>
        </w:rPr>
      </w:pPr>
      <w:r>
        <w:rPr>
          <w:rFonts w:ascii="Sylfaen" w:hAnsi="Sylfaen"/>
        </w:rPr>
        <w:lastRenderedPageBreak/>
        <w:t xml:space="preserve">Appendix 2: </w:t>
      </w:r>
    </w:p>
    <w:p w:rsidR="00F41FF4" w:rsidRDefault="00F41FF4" w:rsidP="00D455DE">
      <w:pPr>
        <w:jc w:val="center"/>
        <w:rPr>
          <w:rFonts w:ascii="Sylfaen" w:hAnsi="Sylfaen"/>
        </w:rPr>
      </w:pPr>
    </w:p>
    <w:p w:rsidR="00F41FF4" w:rsidRDefault="00F41FF4" w:rsidP="00D455DE">
      <w:pPr>
        <w:jc w:val="center"/>
        <w:rPr>
          <w:rFonts w:ascii="Sylfaen" w:hAnsi="Sylfaen"/>
        </w:rPr>
      </w:pPr>
      <w:r>
        <w:rPr>
          <w:rFonts w:ascii="Sylfaen" w:hAnsi="Sylfaen"/>
        </w:rPr>
        <w:t xml:space="preserve">IPMPC Comments on First </w:t>
      </w:r>
      <w:r w:rsidR="00EF6714">
        <w:rPr>
          <w:rFonts w:ascii="Sylfaen" w:hAnsi="Sylfaen"/>
        </w:rPr>
        <w:t>Modifications to Proposed Regulations</w:t>
      </w:r>
    </w:p>
    <w:p w:rsidR="00F41FF4" w:rsidRPr="00F85032" w:rsidRDefault="00F41FF4" w:rsidP="00872F50">
      <w:pPr>
        <w:ind w:left="5040"/>
        <w:rPr>
          <w:rFonts w:ascii="Sylfaen" w:hAnsi="Sylfaen"/>
        </w:rPr>
      </w:pPr>
    </w:p>
    <w:p w:rsidR="00EF73EB" w:rsidRDefault="00EF73EB" w:rsidP="00872F50">
      <w:pPr>
        <w:ind w:left="5040"/>
        <w:rPr>
          <w:rFonts w:ascii="Sylfaen" w:hAnsi="Sylfaen"/>
        </w:rPr>
      </w:pPr>
    </w:p>
    <w:p w:rsidR="000F49A1" w:rsidRDefault="000F49A1" w:rsidP="00872F50">
      <w:pPr>
        <w:ind w:left="5040"/>
        <w:rPr>
          <w:rFonts w:ascii="Sylfaen" w:hAnsi="Sylfaen"/>
        </w:rPr>
      </w:pPr>
    </w:p>
    <w:p w:rsidR="00872F50" w:rsidRPr="00403FF5" w:rsidRDefault="00872F50" w:rsidP="00253C90">
      <w:pPr>
        <w:ind w:left="5040"/>
        <w:rPr>
          <w:rFonts w:ascii="Sylfaen" w:hAnsi="Sylfaen"/>
          <w:szCs w:val="24"/>
        </w:rPr>
      </w:pPr>
    </w:p>
    <w:sectPr w:rsidR="00872F50" w:rsidRPr="00403FF5" w:rsidSect="009A026F">
      <w:headerReference w:type="default" r:id="rId22"/>
      <w:pgSz w:w="12240" w:h="15840" w:code="1"/>
      <w:pgMar w:top="1440" w:right="1080" w:bottom="1440" w:left="1080" w:header="576" w:footer="7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13" w:rsidRDefault="006C2913">
      <w:r>
        <w:separator/>
      </w:r>
    </w:p>
  </w:endnote>
  <w:endnote w:type="continuationSeparator" w:id="0">
    <w:p w:rsidR="006C2913" w:rsidRDefault="006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E7" w:rsidRDefault="00645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rsidP="00FE0F7F">
    <w:pPr>
      <w:pStyle w:val="Footer"/>
      <w:tabs>
        <w:tab w:val="clear" w:pos="4320"/>
        <w:tab w:val="center" w:pos="4680"/>
      </w:tabs>
      <w:rPr>
        <w:sz w:val="19"/>
      </w:rPr>
    </w:pPr>
    <w:r>
      <w:rPr>
        <w:sz w:val="19"/>
      </w:rPr>
      <w:tab/>
    </w:r>
    <w:r>
      <w:rPr>
        <w:sz w:val="19"/>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Pr="00EA4056" w:rsidRDefault="00ED0174" w:rsidP="00E109C8">
    <w:pPr>
      <w:spacing w:before="360"/>
      <w:ind w:left="-86"/>
      <w:jc w:val="center"/>
      <w:rPr>
        <w:rFonts w:ascii="Calibri" w:hAnsi="Calibri" w:cs="Calibri"/>
        <w:color w:val="0070C0"/>
        <w:sz w:val="20"/>
        <w:szCs w:val="22"/>
      </w:rPr>
    </w:pPr>
    <w:r w:rsidRPr="00EA4056">
      <w:rPr>
        <w:rFonts w:ascii="Calibri" w:hAnsi="Calibri" w:cs="Calibri"/>
        <w:color w:val="0070C0"/>
        <w:sz w:val="20"/>
        <w:szCs w:val="22"/>
      </w:rPr>
      <w:t>1500 K Street, NW, Washington, DC 20005</w:t>
    </w:r>
    <w:r>
      <w:rPr>
        <w:rFonts w:ascii="Calibri" w:hAnsi="Calibri" w:cs="Calibri"/>
        <w:color w:val="0070C0"/>
        <w:sz w:val="20"/>
        <w:szCs w:val="22"/>
      </w:rPr>
      <w:t xml:space="preserve"> USA</w:t>
    </w:r>
  </w:p>
  <w:p w:rsidR="00ED0174" w:rsidRDefault="00ED0174" w:rsidP="00996F9A">
    <w:pPr>
      <w:ind w:left="-90"/>
      <w:jc w:val="center"/>
      <w:rPr>
        <w:rFonts w:ascii="Calibri" w:hAnsi="Calibri" w:cs="Calibri"/>
        <w:color w:val="0070C0"/>
        <w:sz w:val="20"/>
        <w:szCs w:val="22"/>
      </w:rPr>
    </w:pPr>
    <w:r w:rsidRPr="00EA4056">
      <w:rPr>
        <w:rFonts w:ascii="Calibri" w:hAnsi="Calibri" w:cs="Calibri"/>
        <w:color w:val="0070C0"/>
        <w:sz w:val="20"/>
        <w:szCs w:val="22"/>
      </w:rPr>
      <w:t>Tel: +1.202.230.5619</w:t>
    </w:r>
  </w:p>
  <w:p w:rsidR="00ED0174" w:rsidRDefault="00ED0174" w:rsidP="00996F9A">
    <w:pPr>
      <w:ind w:left="-90"/>
      <w:jc w:val="center"/>
      <w:rPr>
        <w:rFonts w:ascii="Calibri" w:hAnsi="Calibri" w:cs="Calibri"/>
        <w:b/>
        <w:color w:val="0070C0"/>
        <w:sz w:val="22"/>
        <w:szCs w:val="22"/>
      </w:rPr>
    </w:pPr>
    <w:r>
      <w:rPr>
        <w:rFonts w:ascii="Calibri" w:hAnsi="Calibri" w:cs="Calibri"/>
        <w:b/>
        <w:color w:val="0070C0"/>
        <w:sz w:val="22"/>
        <w:szCs w:val="22"/>
      </w:rPr>
      <w:t>www.ipmpc.org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rsidP="00FE0F7F">
    <w:pPr>
      <w:pStyle w:val="Footer"/>
      <w:tabs>
        <w:tab w:val="clear" w:pos="4320"/>
        <w:tab w:val="center" w:pos="4680"/>
      </w:tabs>
      <w:rPr>
        <w:sz w:val="19"/>
      </w:rPr>
    </w:pPr>
    <w:r>
      <w:rPr>
        <w:sz w:val="19"/>
      </w:rPr>
      <w:tab/>
    </w:r>
    <w:r>
      <w:rPr>
        <w:sz w:val="19"/>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rsidP="00FE0F7F">
    <w:pPr>
      <w:pStyle w:val="Footer"/>
      <w:tabs>
        <w:tab w:val="clear" w:pos="4320"/>
        <w:tab w:val="center" w:pos="4680"/>
      </w:tabs>
      <w:rPr>
        <w:sz w:val="19"/>
      </w:rPr>
    </w:pPr>
    <w:r>
      <w:rPr>
        <w:sz w:val="19"/>
      </w:rPr>
      <w:tab/>
    </w:r>
    <w:r>
      <w:rPr>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13" w:rsidRDefault="006C2913">
      <w:pPr>
        <w:spacing w:line="80" w:lineRule="exact"/>
        <w:rPr>
          <w:sz w:val="23"/>
        </w:rPr>
      </w:pPr>
      <w:r>
        <w:rPr>
          <w:sz w:val="23"/>
        </w:rPr>
        <w:separator/>
      </w:r>
    </w:p>
  </w:footnote>
  <w:footnote w:type="continuationSeparator" w:id="0">
    <w:p w:rsidR="006C2913" w:rsidRDefault="006C2913">
      <w:pPr>
        <w:spacing w:line="80" w:lineRule="exact"/>
        <w:rPr>
          <w:sz w:val="23"/>
        </w:rPr>
      </w:pPr>
      <w:r>
        <w:rPr>
          <w:sz w:val="23"/>
        </w:rPr>
        <w:continuationSeparator/>
      </w:r>
    </w:p>
  </w:footnote>
  <w:footnote w:id="1">
    <w:p w:rsidR="00ED0174" w:rsidRPr="0077608B" w:rsidRDefault="00ED0174" w:rsidP="000C6858">
      <w:pPr>
        <w:pStyle w:val="FootnoteText"/>
        <w:spacing w:before="120"/>
        <w:rPr>
          <w:rFonts w:ascii="Sylfaen" w:hAnsi="Sylfaen"/>
        </w:rPr>
      </w:pPr>
      <w:r w:rsidRPr="0077608B">
        <w:rPr>
          <w:rStyle w:val="FootnoteReference"/>
          <w:rFonts w:ascii="Sylfaen" w:hAnsi="Sylfaen"/>
        </w:rPr>
        <w:footnoteRef/>
      </w:r>
      <w:r w:rsidRPr="0077608B">
        <w:rPr>
          <w:rFonts w:ascii="Sylfaen" w:hAnsi="Sylfaen"/>
        </w:rPr>
        <w:t xml:space="preserve"> IPMPC members may also operate related businesses, including</w:t>
      </w:r>
      <w:r>
        <w:rPr>
          <w:rFonts w:ascii="Sylfaen" w:hAnsi="Sylfaen"/>
        </w:rPr>
        <w:t xml:space="preserve"> </w:t>
      </w:r>
      <w:r>
        <w:rPr>
          <w:rFonts w:ascii="Merriweather" w:eastAsia="Merriweather" w:hAnsi="Merriweather" w:cs="Merriweather"/>
        </w:rPr>
        <w:t>in vitro diagnostics manufacturing and</w:t>
      </w:r>
      <w:r w:rsidRPr="0077608B">
        <w:rPr>
          <w:rFonts w:ascii="Sylfaen" w:hAnsi="Sylfaen"/>
        </w:rPr>
        <w:t xml:space="preserve"> CLIA laboratories. </w:t>
      </w:r>
    </w:p>
  </w:footnote>
  <w:footnote w:id="2">
    <w:p w:rsidR="00ED0174" w:rsidRPr="0077608B" w:rsidRDefault="00ED0174" w:rsidP="001E47CB">
      <w:pPr>
        <w:pStyle w:val="FootnoteText"/>
        <w:spacing w:before="120"/>
        <w:rPr>
          <w:rFonts w:ascii="Sylfaen" w:hAnsi="Sylfaen"/>
        </w:rPr>
      </w:pPr>
      <w:r w:rsidRPr="0077608B">
        <w:rPr>
          <w:rStyle w:val="FootnoteReference"/>
          <w:rFonts w:ascii="Sylfaen" w:hAnsi="Sylfaen"/>
        </w:rPr>
        <w:footnoteRef/>
      </w:r>
      <w:r w:rsidRPr="0077608B">
        <w:rPr>
          <w:rFonts w:ascii="Sylfaen" w:hAnsi="Sylfaen"/>
        </w:rPr>
        <w:t xml:space="preserve"> More information about IPMPC is available at https://www.ipmpc.org/. This filing reflects the position of the IPMPC as an organization and should not be construed to reflect the positions of any individual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E7" w:rsidRDefault="0064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pPr>
      <w:pStyle w:val="Header"/>
      <w:tabs>
        <w:tab w:val="clear" w:pos="4320"/>
        <w:tab w:val="center" w:pos="4680"/>
      </w:tabs>
      <w:rPr>
        <w:sz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E7" w:rsidRDefault="00645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pPr>
      <w:pStyle w:val="Header"/>
      <w:jc w:val="right"/>
      <w:rPr>
        <w:rFonts w:ascii="Sylfaen" w:hAnsi="Sylfaen"/>
      </w:rPr>
    </w:pPr>
  </w:p>
  <w:sdt>
    <w:sdtPr>
      <w:rPr>
        <w:rFonts w:ascii="Sylfaen" w:hAnsi="Sylfaen"/>
      </w:rPr>
      <w:id w:val="2142995701"/>
      <w:docPartObj>
        <w:docPartGallery w:val="Page Numbers (Top of Page)"/>
        <w:docPartUnique/>
      </w:docPartObj>
    </w:sdtPr>
    <w:sdtEndPr>
      <w:rPr>
        <w:noProof/>
      </w:rPr>
    </w:sdtEndPr>
    <w:sdtContent>
      <w:p w:rsidR="00ED0174" w:rsidRPr="005412E6" w:rsidRDefault="00ED0174">
        <w:pPr>
          <w:pStyle w:val="Header"/>
          <w:jc w:val="right"/>
          <w:rPr>
            <w:rFonts w:ascii="Sylfaen" w:hAnsi="Sylfaen"/>
          </w:rPr>
        </w:pPr>
        <w:r w:rsidRPr="005412E6">
          <w:rPr>
            <w:rFonts w:ascii="Sylfaen" w:hAnsi="Sylfaen"/>
          </w:rPr>
          <w:t>Comments of the IPMPC</w:t>
        </w:r>
      </w:p>
      <w:p w:rsidR="00ED0174" w:rsidRPr="005412E6" w:rsidRDefault="00ED0174">
        <w:pPr>
          <w:pStyle w:val="Header"/>
          <w:jc w:val="right"/>
          <w:rPr>
            <w:rFonts w:ascii="Sylfaen" w:hAnsi="Sylfaen"/>
          </w:rPr>
        </w:pPr>
        <w:r>
          <w:rPr>
            <w:rFonts w:ascii="Sylfaen" w:hAnsi="Sylfaen"/>
          </w:rPr>
          <w:t>March 27</w:t>
        </w:r>
        <w:r w:rsidRPr="005412E6">
          <w:rPr>
            <w:rFonts w:ascii="Sylfaen" w:hAnsi="Sylfaen"/>
          </w:rPr>
          <w:t>, 20</w:t>
        </w:r>
        <w:r>
          <w:rPr>
            <w:rFonts w:ascii="Sylfaen" w:hAnsi="Sylfaen"/>
          </w:rPr>
          <w:t>20</w:t>
        </w:r>
      </w:p>
      <w:p w:rsidR="00ED0174" w:rsidRPr="005412E6" w:rsidRDefault="00ED0174">
        <w:pPr>
          <w:pStyle w:val="Header"/>
          <w:jc w:val="right"/>
          <w:rPr>
            <w:rFonts w:ascii="Sylfaen" w:hAnsi="Sylfaen"/>
            <w:noProof/>
          </w:rPr>
        </w:pPr>
        <w:r w:rsidRPr="005412E6">
          <w:rPr>
            <w:rFonts w:ascii="Sylfaen" w:hAnsi="Sylfaen"/>
          </w:rPr>
          <w:t xml:space="preserve">Page </w:t>
        </w:r>
        <w:r w:rsidRPr="005412E6">
          <w:rPr>
            <w:rFonts w:ascii="Sylfaen" w:hAnsi="Sylfaen"/>
          </w:rPr>
          <w:fldChar w:fldCharType="begin"/>
        </w:r>
        <w:r w:rsidRPr="005412E6">
          <w:rPr>
            <w:rFonts w:ascii="Sylfaen" w:hAnsi="Sylfaen"/>
          </w:rPr>
          <w:instrText xml:space="preserve"> PAGE   \* MERGEFORMAT </w:instrText>
        </w:r>
        <w:r w:rsidRPr="005412E6">
          <w:rPr>
            <w:rFonts w:ascii="Sylfaen" w:hAnsi="Sylfaen"/>
          </w:rPr>
          <w:fldChar w:fldCharType="separate"/>
        </w:r>
        <w:r w:rsidR="00E723CC">
          <w:rPr>
            <w:rFonts w:ascii="Sylfaen" w:hAnsi="Sylfaen"/>
            <w:noProof/>
          </w:rPr>
          <w:t>4</w:t>
        </w:r>
        <w:r w:rsidRPr="005412E6">
          <w:rPr>
            <w:rFonts w:ascii="Sylfaen" w:hAnsi="Sylfaen"/>
            <w:noProof/>
          </w:rPr>
          <w:fldChar w:fldCharType="end"/>
        </w:r>
      </w:p>
      <w:p w:rsidR="00ED0174" w:rsidRPr="005412E6" w:rsidRDefault="00E723CC">
        <w:pPr>
          <w:pStyle w:val="Header"/>
          <w:jc w:val="right"/>
          <w:rPr>
            <w:rFonts w:ascii="Sylfaen" w:hAnsi="Sylfaen"/>
          </w:rPr>
        </w:pPr>
      </w:p>
    </w:sdtContent>
  </w:sdt>
  <w:p w:rsidR="00ED0174" w:rsidRDefault="00ED0174" w:rsidP="001B476A">
    <w:pPr>
      <w:pStyle w:val="Header"/>
      <w:tabs>
        <w:tab w:val="clear" w:pos="4320"/>
        <w:tab w:val="center" w:pos="4680"/>
      </w:tabs>
      <w:ind w:left="-2160"/>
      <w:rPr>
        <w:sz w:val="23"/>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4" w:rsidRDefault="00ED0174">
    <w:pPr>
      <w:pStyle w:val="Header"/>
      <w:tabs>
        <w:tab w:val="clear" w:pos="4320"/>
        <w:tab w:val="center" w:pos="4680"/>
      </w:tabs>
      <w:jc w:val="right"/>
      <w:rPr>
        <w:b/>
        <w:sz w:val="23"/>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F" w:rsidRPr="005412E6" w:rsidRDefault="009A026F">
    <w:pPr>
      <w:pStyle w:val="Header"/>
      <w:jc w:val="right"/>
      <w:rPr>
        <w:rFonts w:ascii="Sylfaen" w:hAnsi="Sylfaen"/>
      </w:rPr>
    </w:pPr>
  </w:p>
  <w:p w:rsidR="009A026F" w:rsidRDefault="009A026F" w:rsidP="001B476A">
    <w:pPr>
      <w:pStyle w:val="Header"/>
      <w:tabs>
        <w:tab w:val="clear" w:pos="4320"/>
        <w:tab w:val="center" w:pos="4680"/>
      </w:tabs>
      <w:ind w:left="-2160"/>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558D4063"/>
    <w:multiLevelType w:val="hybridMultilevel"/>
    <w:tmpl w:val="A9A48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861E6E"/>
    <w:multiLevelType w:val="hybridMultilevel"/>
    <w:tmpl w:val="468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NotDisplayPageBoundaries/>
  <w:embedSystemFonts/>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bWasHeadingSet" w:val="False"/>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MPDocID" w:val="ACTIVE/ 77696997.1"/>
    <w:docVar w:name="MPDocIDTemplate" w:val="%l/ |%n|.%v"/>
    <w:docVar w:name="MPDocIDTemplateDefault" w:val="%l/ |%n|.%v|&lt;13&gt;%c|/%m"/>
    <w:docVar w:name="NewDocStampType" w:val="25"/>
    <w:docVar w:name="zzmp10mSEGsValidated" w:val="1"/>
    <w:docVar w:name="zzmp10NoTrailerPromptID" w:val="ACTIVE.122233847.2"/>
    <w:docVar w:name="zzmpCompatibilityMode" w:val="15"/>
    <w:docVar w:name="zzmpFixed_MacPacVersion" w:val="97"/>
    <w:docVar w:name="zzmpFixedDOC_ID" w:val="DC01/401486.1"/>
  </w:docVars>
  <w:rsids>
    <w:rsidRoot w:val="00F61D21"/>
    <w:rsid w:val="00002CEE"/>
    <w:rsid w:val="00007426"/>
    <w:rsid w:val="00010108"/>
    <w:rsid w:val="0001343E"/>
    <w:rsid w:val="000134EE"/>
    <w:rsid w:val="00013609"/>
    <w:rsid w:val="00014B93"/>
    <w:rsid w:val="00014F9D"/>
    <w:rsid w:val="00016FB4"/>
    <w:rsid w:val="000212F2"/>
    <w:rsid w:val="00022717"/>
    <w:rsid w:val="000248A8"/>
    <w:rsid w:val="00027C7F"/>
    <w:rsid w:val="00043566"/>
    <w:rsid w:val="00044BC5"/>
    <w:rsid w:val="000545E0"/>
    <w:rsid w:val="00057001"/>
    <w:rsid w:val="00057DC9"/>
    <w:rsid w:val="00064B38"/>
    <w:rsid w:val="00067A98"/>
    <w:rsid w:val="000746BE"/>
    <w:rsid w:val="00074BBB"/>
    <w:rsid w:val="00075AF5"/>
    <w:rsid w:val="00077A5D"/>
    <w:rsid w:val="00080AAC"/>
    <w:rsid w:val="00083976"/>
    <w:rsid w:val="000865E8"/>
    <w:rsid w:val="000869C7"/>
    <w:rsid w:val="00092445"/>
    <w:rsid w:val="000940F6"/>
    <w:rsid w:val="00096E3C"/>
    <w:rsid w:val="000A025D"/>
    <w:rsid w:val="000A39BC"/>
    <w:rsid w:val="000A53F8"/>
    <w:rsid w:val="000A6E7F"/>
    <w:rsid w:val="000A7ED6"/>
    <w:rsid w:val="000B146A"/>
    <w:rsid w:val="000B364D"/>
    <w:rsid w:val="000C6858"/>
    <w:rsid w:val="000D4AEF"/>
    <w:rsid w:val="000D6C9B"/>
    <w:rsid w:val="000E07B3"/>
    <w:rsid w:val="000E1DA3"/>
    <w:rsid w:val="000E7C59"/>
    <w:rsid w:val="000F2DF2"/>
    <w:rsid w:val="000F49A1"/>
    <w:rsid w:val="00115EEC"/>
    <w:rsid w:val="00125753"/>
    <w:rsid w:val="00131434"/>
    <w:rsid w:val="00131DBB"/>
    <w:rsid w:val="00137DE2"/>
    <w:rsid w:val="00140DC4"/>
    <w:rsid w:val="0014576C"/>
    <w:rsid w:val="0015017B"/>
    <w:rsid w:val="00150C03"/>
    <w:rsid w:val="00152A4E"/>
    <w:rsid w:val="00156BB8"/>
    <w:rsid w:val="00171B3D"/>
    <w:rsid w:val="00172E2F"/>
    <w:rsid w:val="00175972"/>
    <w:rsid w:val="001768C3"/>
    <w:rsid w:val="001851C2"/>
    <w:rsid w:val="00185F77"/>
    <w:rsid w:val="00186B11"/>
    <w:rsid w:val="00187664"/>
    <w:rsid w:val="001A01DA"/>
    <w:rsid w:val="001A3AAA"/>
    <w:rsid w:val="001B09FA"/>
    <w:rsid w:val="001B2825"/>
    <w:rsid w:val="001B30CB"/>
    <w:rsid w:val="001B476A"/>
    <w:rsid w:val="001C41FD"/>
    <w:rsid w:val="001C44D6"/>
    <w:rsid w:val="001C5879"/>
    <w:rsid w:val="001D35A6"/>
    <w:rsid w:val="001D7728"/>
    <w:rsid w:val="001E47CB"/>
    <w:rsid w:val="001E47E9"/>
    <w:rsid w:val="001E67DE"/>
    <w:rsid w:val="001F22A2"/>
    <w:rsid w:val="001F5C02"/>
    <w:rsid w:val="00211B98"/>
    <w:rsid w:val="002139C0"/>
    <w:rsid w:val="0021422F"/>
    <w:rsid w:val="00216B25"/>
    <w:rsid w:val="00231CF0"/>
    <w:rsid w:val="00237796"/>
    <w:rsid w:val="00240FFD"/>
    <w:rsid w:val="0024145A"/>
    <w:rsid w:val="002436A5"/>
    <w:rsid w:val="00246D4A"/>
    <w:rsid w:val="00247A51"/>
    <w:rsid w:val="00247ADF"/>
    <w:rsid w:val="00253C90"/>
    <w:rsid w:val="00275716"/>
    <w:rsid w:val="0028436F"/>
    <w:rsid w:val="002A2644"/>
    <w:rsid w:val="002B56FF"/>
    <w:rsid w:val="002B62DC"/>
    <w:rsid w:val="002B7874"/>
    <w:rsid w:val="002C3AF4"/>
    <w:rsid w:val="002C4CA1"/>
    <w:rsid w:val="002C6635"/>
    <w:rsid w:val="002C6BCE"/>
    <w:rsid w:val="002C715A"/>
    <w:rsid w:val="002E49B6"/>
    <w:rsid w:val="002E71BC"/>
    <w:rsid w:val="002F0D38"/>
    <w:rsid w:val="002F4248"/>
    <w:rsid w:val="002F4270"/>
    <w:rsid w:val="002F7F2B"/>
    <w:rsid w:val="0032459D"/>
    <w:rsid w:val="00334F93"/>
    <w:rsid w:val="00343B25"/>
    <w:rsid w:val="00343BB8"/>
    <w:rsid w:val="00343EF3"/>
    <w:rsid w:val="00346F5A"/>
    <w:rsid w:val="0034788B"/>
    <w:rsid w:val="00350630"/>
    <w:rsid w:val="00351C6C"/>
    <w:rsid w:val="003521AA"/>
    <w:rsid w:val="003523C7"/>
    <w:rsid w:val="003548B6"/>
    <w:rsid w:val="003552F0"/>
    <w:rsid w:val="00360739"/>
    <w:rsid w:val="003613A0"/>
    <w:rsid w:val="0036205C"/>
    <w:rsid w:val="0037070B"/>
    <w:rsid w:val="00370D8E"/>
    <w:rsid w:val="00372910"/>
    <w:rsid w:val="00386C12"/>
    <w:rsid w:val="00392E64"/>
    <w:rsid w:val="003A0D5A"/>
    <w:rsid w:val="003A4A2F"/>
    <w:rsid w:val="003A57F1"/>
    <w:rsid w:val="003B3C5B"/>
    <w:rsid w:val="003B4C6F"/>
    <w:rsid w:val="003D7A0F"/>
    <w:rsid w:val="003D7F1F"/>
    <w:rsid w:val="003E247A"/>
    <w:rsid w:val="003E34E6"/>
    <w:rsid w:val="003E6541"/>
    <w:rsid w:val="003F66B1"/>
    <w:rsid w:val="00402171"/>
    <w:rsid w:val="00403C10"/>
    <w:rsid w:val="00403FF5"/>
    <w:rsid w:val="004043D6"/>
    <w:rsid w:val="00405925"/>
    <w:rsid w:val="00412A01"/>
    <w:rsid w:val="0041614B"/>
    <w:rsid w:val="00420058"/>
    <w:rsid w:val="00427DE9"/>
    <w:rsid w:val="004328D5"/>
    <w:rsid w:val="004330BA"/>
    <w:rsid w:val="00433AA6"/>
    <w:rsid w:val="0043504A"/>
    <w:rsid w:val="00435188"/>
    <w:rsid w:val="004446E9"/>
    <w:rsid w:val="004530C5"/>
    <w:rsid w:val="0045458E"/>
    <w:rsid w:val="0045543A"/>
    <w:rsid w:val="00455A7F"/>
    <w:rsid w:val="00456271"/>
    <w:rsid w:val="00465B5C"/>
    <w:rsid w:val="004846B8"/>
    <w:rsid w:val="00484F56"/>
    <w:rsid w:val="00495994"/>
    <w:rsid w:val="004B45FD"/>
    <w:rsid w:val="004B6939"/>
    <w:rsid w:val="004C1753"/>
    <w:rsid w:val="004C43A9"/>
    <w:rsid w:val="004C4C90"/>
    <w:rsid w:val="004C6CEF"/>
    <w:rsid w:val="004D0893"/>
    <w:rsid w:val="004D2846"/>
    <w:rsid w:val="004F6872"/>
    <w:rsid w:val="004F6E84"/>
    <w:rsid w:val="004F7243"/>
    <w:rsid w:val="005013CA"/>
    <w:rsid w:val="0051780A"/>
    <w:rsid w:val="00521EF7"/>
    <w:rsid w:val="00530994"/>
    <w:rsid w:val="005412E6"/>
    <w:rsid w:val="00555072"/>
    <w:rsid w:val="00556EDF"/>
    <w:rsid w:val="0056246E"/>
    <w:rsid w:val="00567586"/>
    <w:rsid w:val="005775B2"/>
    <w:rsid w:val="00577F07"/>
    <w:rsid w:val="005843CF"/>
    <w:rsid w:val="00586D7E"/>
    <w:rsid w:val="005C33D2"/>
    <w:rsid w:val="005E3A02"/>
    <w:rsid w:val="005F2529"/>
    <w:rsid w:val="00601E48"/>
    <w:rsid w:val="0060241B"/>
    <w:rsid w:val="00604FF2"/>
    <w:rsid w:val="006050B2"/>
    <w:rsid w:val="00605255"/>
    <w:rsid w:val="00607392"/>
    <w:rsid w:val="006078E0"/>
    <w:rsid w:val="0061159C"/>
    <w:rsid w:val="00615DEA"/>
    <w:rsid w:val="0062392D"/>
    <w:rsid w:val="006243B8"/>
    <w:rsid w:val="00632F75"/>
    <w:rsid w:val="00635D59"/>
    <w:rsid w:val="00636A85"/>
    <w:rsid w:val="00637E86"/>
    <w:rsid w:val="00640577"/>
    <w:rsid w:val="00641478"/>
    <w:rsid w:val="00641971"/>
    <w:rsid w:val="0064343B"/>
    <w:rsid w:val="00645EE7"/>
    <w:rsid w:val="00651547"/>
    <w:rsid w:val="00662B10"/>
    <w:rsid w:val="00662F62"/>
    <w:rsid w:val="006639CB"/>
    <w:rsid w:val="006648E7"/>
    <w:rsid w:val="006761AC"/>
    <w:rsid w:val="00677E93"/>
    <w:rsid w:val="00683FB8"/>
    <w:rsid w:val="0068493E"/>
    <w:rsid w:val="0069079A"/>
    <w:rsid w:val="00697F35"/>
    <w:rsid w:val="006A093C"/>
    <w:rsid w:val="006A3D9E"/>
    <w:rsid w:val="006B172F"/>
    <w:rsid w:val="006B194B"/>
    <w:rsid w:val="006B44D7"/>
    <w:rsid w:val="006B5540"/>
    <w:rsid w:val="006B6779"/>
    <w:rsid w:val="006B6B18"/>
    <w:rsid w:val="006C2913"/>
    <w:rsid w:val="006D1F65"/>
    <w:rsid w:val="006D3411"/>
    <w:rsid w:val="006E0833"/>
    <w:rsid w:val="006E1C26"/>
    <w:rsid w:val="006F03FF"/>
    <w:rsid w:val="006F1C73"/>
    <w:rsid w:val="00701B9E"/>
    <w:rsid w:val="0070355E"/>
    <w:rsid w:val="007152A7"/>
    <w:rsid w:val="00716D7E"/>
    <w:rsid w:val="00726BB6"/>
    <w:rsid w:val="00733A59"/>
    <w:rsid w:val="0074085D"/>
    <w:rsid w:val="00746588"/>
    <w:rsid w:val="00751A5E"/>
    <w:rsid w:val="007640F2"/>
    <w:rsid w:val="007655AA"/>
    <w:rsid w:val="00771A04"/>
    <w:rsid w:val="00775429"/>
    <w:rsid w:val="0077608B"/>
    <w:rsid w:val="00782E57"/>
    <w:rsid w:val="007B22DC"/>
    <w:rsid w:val="007B7A44"/>
    <w:rsid w:val="007C1188"/>
    <w:rsid w:val="007C3802"/>
    <w:rsid w:val="007C61F6"/>
    <w:rsid w:val="007D4FF7"/>
    <w:rsid w:val="007D78F3"/>
    <w:rsid w:val="007E0FDF"/>
    <w:rsid w:val="007E19DE"/>
    <w:rsid w:val="007E212E"/>
    <w:rsid w:val="007F0765"/>
    <w:rsid w:val="007F1F61"/>
    <w:rsid w:val="007F211A"/>
    <w:rsid w:val="007F305C"/>
    <w:rsid w:val="0080402A"/>
    <w:rsid w:val="00806F9A"/>
    <w:rsid w:val="00811724"/>
    <w:rsid w:val="00816517"/>
    <w:rsid w:val="00816EAE"/>
    <w:rsid w:val="008219C8"/>
    <w:rsid w:val="008248A2"/>
    <w:rsid w:val="00826937"/>
    <w:rsid w:val="00831749"/>
    <w:rsid w:val="00832AE2"/>
    <w:rsid w:val="00843000"/>
    <w:rsid w:val="008444FC"/>
    <w:rsid w:val="0084695F"/>
    <w:rsid w:val="008503CB"/>
    <w:rsid w:val="008503D9"/>
    <w:rsid w:val="008506AF"/>
    <w:rsid w:val="00851A59"/>
    <w:rsid w:val="00851DAB"/>
    <w:rsid w:val="00855360"/>
    <w:rsid w:val="00856141"/>
    <w:rsid w:val="00857B47"/>
    <w:rsid w:val="00862EDF"/>
    <w:rsid w:val="00863BE8"/>
    <w:rsid w:val="008644CE"/>
    <w:rsid w:val="00870351"/>
    <w:rsid w:val="00872F50"/>
    <w:rsid w:val="0087667A"/>
    <w:rsid w:val="00880407"/>
    <w:rsid w:val="00880610"/>
    <w:rsid w:val="008806FC"/>
    <w:rsid w:val="008821D8"/>
    <w:rsid w:val="00894C49"/>
    <w:rsid w:val="00894F28"/>
    <w:rsid w:val="00895A11"/>
    <w:rsid w:val="00897327"/>
    <w:rsid w:val="008A6043"/>
    <w:rsid w:val="008A754E"/>
    <w:rsid w:val="008B17EB"/>
    <w:rsid w:val="008B5AD2"/>
    <w:rsid w:val="008C0F1D"/>
    <w:rsid w:val="008C2602"/>
    <w:rsid w:val="008C29AF"/>
    <w:rsid w:val="008C323A"/>
    <w:rsid w:val="008C7B4D"/>
    <w:rsid w:val="008D2AD5"/>
    <w:rsid w:val="008D2F50"/>
    <w:rsid w:val="008D47EC"/>
    <w:rsid w:val="008E19DE"/>
    <w:rsid w:val="008E2704"/>
    <w:rsid w:val="008E3626"/>
    <w:rsid w:val="008F1BDD"/>
    <w:rsid w:val="008F7E4C"/>
    <w:rsid w:val="0090161F"/>
    <w:rsid w:val="00903906"/>
    <w:rsid w:val="00905DE4"/>
    <w:rsid w:val="00905EC3"/>
    <w:rsid w:val="0090684B"/>
    <w:rsid w:val="00917640"/>
    <w:rsid w:val="009179FA"/>
    <w:rsid w:val="00917EDE"/>
    <w:rsid w:val="009216A9"/>
    <w:rsid w:val="0092538F"/>
    <w:rsid w:val="00926914"/>
    <w:rsid w:val="00947EDB"/>
    <w:rsid w:val="00951094"/>
    <w:rsid w:val="009617FA"/>
    <w:rsid w:val="00965A46"/>
    <w:rsid w:val="009661EC"/>
    <w:rsid w:val="009734F2"/>
    <w:rsid w:val="00973877"/>
    <w:rsid w:val="00976053"/>
    <w:rsid w:val="00985185"/>
    <w:rsid w:val="009927AE"/>
    <w:rsid w:val="00996F9A"/>
    <w:rsid w:val="009A026F"/>
    <w:rsid w:val="009A2153"/>
    <w:rsid w:val="009A5C05"/>
    <w:rsid w:val="009C3819"/>
    <w:rsid w:val="009D3C82"/>
    <w:rsid w:val="009D5BDF"/>
    <w:rsid w:val="009D630E"/>
    <w:rsid w:val="009E03AB"/>
    <w:rsid w:val="009E1B87"/>
    <w:rsid w:val="009F08E5"/>
    <w:rsid w:val="00A01F3E"/>
    <w:rsid w:val="00A035F8"/>
    <w:rsid w:val="00A061CF"/>
    <w:rsid w:val="00A07B84"/>
    <w:rsid w:val="00A106BA"/>
    <w:rsid w:val="00A12BD1"/>
    <w:rsid w:val="00A14441"/>
    <w:rsid w:val="00A20140"/>
    <w:rsid w:val="00A21D4D"/>
    <w:rsid w:val="00A22D60"/>
    <w:rsid w:val="00A36320"/>
    <w:rsid w:val="00A609B7"/>
    <w:rsid w:val="00A7006F"/>
    <w:rsid w:val="00A91DAC"/>
    <w:rsid w:val="00A92979"/>
    <w:rsid w:val="00A95152"/>
    <w:rsid w:val="00AA2382"/>
    <w:rsid w:val="00AB0032"/>
    <w:rsid w:val="00AB770A"/>
    <w:rsid w:val="00AC202C"/>
    <w:rsid w:val="00AC37C4"/>
    <w:rsid w:val="00AC3F9F"/>
    <w:rsid w:val="00AD1ADA"/>
    <w:rsid w:val="00AE0E8C"/>
    <w:rsid w:val="00AF2245"/>
    <w:rsid w:val="00AF4796"/>
    <w:rsid w:val="00AF619B"/>
    <w:rsid w:val="00B02C20"/>
    <w:rsid w:val="00B0584F"/>
    <w:rsid w:val="00B06E38"/>
    <w:rsid w:val="00B10761"/>
    <w:rsid w:val="00B15D18"/>
    <w:rsid w:val="00B261FB"/>
    <w:rsid w:val="00B26DA0"/>
    <w:rsid w:val="00B30283"/>
    <w:rsid w:val="00B407BE"/>
    <w:rsid w:val="00B407D7"/>
    <w:rsid w:val="00B47E23"/>
    <w:rsid w:val="00B52F26"/>
    <w:rsid w:val="00B55E7E"/>
    <w:rsid w:val="00B56CE2"/>
    <w:rsid w:val="00B60A56"/>
    <w:rsid w:val="00B70CC7"/>
    <w:rsid w:val="00B70D78"/>
    <w:rsid w:val="00B73E0A"/>
    <w:rsid w:val="00B745A0"/>
    <w:rsid w:val="00B74BFE"/>
    <w:rsid w:val="00B80E0B"/>
    <w:rsid w:val="00B8737E"/>
    <w:rsid w:val="00B87E76"/>
    <w:rsid w:val="00BA3FD3"/>
    <w:rsid w:val="00BB0A70"/>
    <w:rsid w:val="00BB29DF"/>
    <w:rsid w:val="00BB6491"/>
    <w:rsid w:val="00BC1006"/>
    <w:rsid w:val="00BC383D"/>
    <w:rsid w:val="00BC7884"/>
    <w:rsid w:val="00BD1A16"/>
    <w:rsid w:val="00BD2B09"/>
    <w:rsid w:val="00BD6F39"/>
    <w:rsid w:val="00BE5D02"/>
    <w:rsid w:val="00BF1CC5"/>
    <w:rsid w:val="00BF6BF4"/>
    <w:rsid w:val="00BF6CF6"/>
    <w:rsid w:val="00BF7D5D"/>
    <w:rsid w:val="00C11F67"/>
    <w:rsid w:val="00C26007"/>
    <w:rsid w:val="00C3520A"/>
    <w:rsid w:val="00C35E70"/>
    <w:rsid w:val="00C4631A"/>
    <w:rsid w:val="00C46EFE"/>
    <w:rsid w:val="00C47DE4"/>
    <w:rsid w:val="00C519BC"/>
    <w:rsid w:val="00C614AB"/>
    <w:rsid w:val="00C65A00"/>
    <w:rsid w:val="00C66F9C"/>
    <w:rsid w:val="00C74EA6"/>
    <w:rsid w:val="00C76166"/>
    <w:rsid w:val="00C829AE"/>
    <w:rsid w:val="00C84B0D"/>
    <w:rsid w:val="00C8534F"/>
    <w:rsid w:val="00C85662"/>
    <w:rsid w:val="00C86F4D"/>
    <w:rsid w:val="00C95A31"/>
    <w:rsid w:val="00C96D7A"/>
    <w:rsid w:val="00CA1EA6"/>
    <w:rsid w:val="00CA446B"/>
    <w:rsid w:val="00CB0476"/>
    <w:rsid w:val="00CB378A"/>
    <w:rsid w:val="00CC7537"/>
    <w:rsid w:val="00CD2B01"/>
    <w:rsid w:val="00CE301A"/>
    <w:rsid w:val="00CF29DC"/>
    <w:rsid w:val="00CF580F"/>
    <w:rsid w:val="00D02ED1"/>
    <w:rsid w:val="00D11F50"/>
    <w:rsid w:val="00D15840"/>
    <w:rsid w:val="00D16F85"/>
    <w:rsid w:val="00D2293B"/>
    <w:rsid w:val="00D27ECB"/>
    <w:rsid w:val="00D455DE"/>
    <w:rsid w:val="00D50A20"/>
    <w:rsid w:val="00D661F5"/>
    <w:rsid w:val="00D72AAC"/>
    <w:rsid w:val="00D75747"/>
    <w:rsid w:val="00D7659A"/>
    <w:rsid w:val="00D81737"/>
    <w:rsid w:val="00D85DA6"/>
    <w:rsid w:val="00D9099C"/>
    <w:rsid w:val="00D9495F"/>
    <w:rsid w:val="00D94F16"/>
    <w:rsid w:val="00D97B4E"/>
    <w:rsid w:val="00DA220A"/>
    <w:rsid w:val="00DA3BE5"/>
    <w:rsid w:val="00DA5DF7"/>
    <w:rsid w:val="00DA6924"/>
    <w:rsid w:val="00DA7299"/>
    <w:rsid w:val="00DC167F"/>
    <w:rsid w:val="00DC7AF6"/>
    <w:rsid w:val="00DC7F67"/>
    <w:rsid w:val="00DD3FFB"/>
    <w:rsid w:val="00DE01CE"/>
    <w:rsid w:val="00DE6FA5"/>
    <w:rsid w:val="00DE791E"/>
    <w:rsid w:val="00DF1BB3"/>
    <w:rsid w:val="00DF2450"/>
    <w:rsid w:val="00DF78DB"/>
    <w:rsid w:val="00E052EC"/>
    <w:rsid w:val="00E109C8"/>
    <w:rsid w:val="00E23B7B"/>
    <w:rsid w:val="00E366B2"/>
    <w:rsid w:val="00E371F7"/>
    <w:rsid w:val="00E44A81"/>
    <w:rsid w:val="00E51895"/>
    <w:rsid w:val="00E52820"/>
    <w:rsid w:val="00E55F77"/>
    <w:rsid w:val="00E63279"/>
    <w:rsid w:val="00E66AF1"/>
    <w:rsid w:val="00E7042F"/>
    <w:rsid w:val="00E71CDB"/>
    <w:rsid w:val="00E723CC"/>
    <w:rsid w:val="00E81E38"/>
    <w:rsid w:val="00E825B5"/>
    <w:rsid w:val="00E923F6"/>
    <w:rsid w:val="00E934BA"/>
    <w:rsid w:val="00E96309"/>
    <w:rsid w:val="00EA4056"/>
    <w:rsid w:val="00EA6ECC"/>
    <w:rsid w:val="00EB2EC9"/>
    <w:rsid w:val="00EB6E92"/>
    <w:rsid w:val="00EC521B"/>
    <w:rsid w:val="00ED0174"/>
    <w:rsid w:val="00EE5BEC"/>
    <w:rsid w:val="00EE6FA2"/>
    <w:rsid w:val="00EF36EB"/>
    <w:rsid w:val="00EF6714"/>
    <w:rsid w:val="00EF73EB"/>
    <w:rsid w:val="00F058E4"/>
    <w:rsid w:val="00F06B97"/>
    <w:rsid w:val="00F352D5"/>
    <w:rsid w:val="00F41FF4"/>
    <w:rsid w:val="00F47599"/>
    <w:rsid w:val="00F47BEC"/>
    <w:rsid w:val="00F53D73"/>
    <w:rsid w:val="00F61D21"/>
    <w:rsid w:val="00F659FC"/>
    <w:rsid w:val="00F66C45"/>
    <w:rsid w:val="00F70558"/>
    <w:rsid w:val="00F76C2B"/>
    <w:rsid w:val="00F82B21"/>
    <w:rsid w:val="00F85032"/>
    <w:rsid w:val="00F86D42"/>
    <w:rsid w:val="00F93110"/>
    <w:rsid w:val="00F93349"/>
    <w:rsid w:val="00F94B2C"/>
    <w:rsid w:val="00FA04DC"/>
    <w:rsid w:val="00FA0923"/>
    <w:rsid w:val="00FA1CAB"/>
    <w:rsid w:val="00FA4142"/>
    <w:rsid w:val="00FA59AE"/>
    <w:rsid w:val="00FA5FF6"/>
    <w:rsid w:val="00FA755A"/>
    <w:rsid w:val="00FB48B6"/>
    <w:rsid w:val="00FB58EB"/>
    <w:rsid w:val="00FC0A53"/>
    <w:rsid w:val="00FC5A26"/>
    <w:rsid w:val="00FC6A31"/>
    <w:rsid w:val="00FD1000"/>
    <w:rsid w:val="00FD28AE"/>
    <w:rsid w:val="00FD60BB"/>
    <w:rsid w:val="00FE0F7F"/>
    <w:rsid w:val="00FE2632"/>
    <w:rsid w:val="00FE505A"/>
    <w:rsid w:val="00FF2883"/>
    <w:rsid w:val="00FF688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0492C88E-721D-4FBA-9D87-A99F7496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144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240"/>
    </w:pPr>
    <w:rPr>
      <w:rFonts w:ascii="Copperplate Gothic" w:hAnsi="Copperplate Gothic"/>
      <w:spacing w:val="8"/>
      <w:sz w:val="20"/>
    </w:rPr>
  </w:style>
  <w:style w:type="paragraph" w:customStyle="1" w:styleId="BodyTextContinued">
    <w:name w:val="Body Text Continued"/>
    <w:basedOn w:val="BodyText"/>
    <w:next w:val="BodyText"/>
    <w:pPr>
      <w:ind w:firstLine="0"/>
    </w:p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i/>
      <w:u w:val="single"/>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character" w:customStyle="1" w:styleId="FooterChar">
    <w:name w:val="Footer Char"/>
    <w:link w:val="Footer"/>
    <w:rsid w:val="00386C12"/>
  </w:style>
  <w:style w:type="paragraph" w:customStyle="1" w:styleId="NormalWeb1">
    <w:name w:val="Normal (Web)1"/>
    <w:basedOn w:val="Normal"/>
    <w:rsid w:val="006761AC"/>
    <w:pPr>
      <w:spacing w:before="100" w:beforeAutospacing="1" w:after="100" w:afterAutospacing="1" w:line="260" w:lineRule="atLeast"/>
      <w:ind w:left="400"/>
    </w:pPr>
    <w:rPr>
      <w:rFonts w:ascii="Verdana" w:hAnsi="Verdana"/>
      <w:sz w:val="20"/>
    </w:rPr>
  </w:style>
  <w:style w:type="character" w:styleId="Hyperlink">
    <w:name w:val="Hyperlink"/>
    <w:uiPriority w:val="99"/>
    <w:rsid w:val="000D6C9B"/>
    <w:rPr>
      <w:color w:val="0000FF"/>
      <w:u w:val="single"/>
    </w:rPr>
  </w:style>
  <w:style w:type="paragraph" w:styleId="BalloonText">
    <w:name w:val="Balloon Text"/>
    <w:basedOn w:val="Normal"/>
    <w:semiHidden/>
    <w:rsid w:val="003523C7"/>
    <w:rPr>
      <w:rFonts w:ascii="Tahoma" w:hAnsi="Tahoma" w:cs="Tahoma"/>
      <w:sz w:val="16"/>
      <w:szCs w:val="16"/>
    </w:rPr>
  </w:style>
  <w:style w:type="character" w:styleId="Emphasis">
    <w:name w:val="Emphasis"/>
    <w:uiPriority w:val="20"/>
    <w:qFormat/>
    <w:rsid w:val="004C6CEF"/>
    <w:rPr>
      <w:i/>
      <w:iCs/>
    </w:rPr>
  </w:style>
  <w:style w:type="paragraph" w:customStyle="1" w:styleId="MacPacTrailer">
    <w:name w:val="MacPac Trailer"/>
    <w:rsid w:val="00B02C20"/>
    <w:pPr>
      <w:widowControl w:val="0"/>
      <w:spacing w:line="200" w:lineRule="exact"/>
    </w:pPr>
    <w:rPr>
      <w:sz w:val="16"/>
      <w:szCs w:val="22"/>
    </w:rPr>
  </w:style>
  <w:style w:type="character" w:styleId="PlaceholderText">
    <w:name w:val="Placeholder Text"/>
    <w:basedOn w:val="DefaultParagraphFont"/>
    <w:uiPriority w:val="99"/>
    <w:semiHidden/>
    <w:rsid w:val="00386C12"/>
    <w:rPr>
      <w:color w:val="808080"/>
    </w:rPr>
  </w:style>
  <w:style w:type="character" w:customStyle="1" w:styleId="FootnoteTextChar">
    <w:name w:val="Footnote Text Char"/>
    <w:basedOn w:val="DefaultParagraphFont"/>
    <w:link w:val="FootnoteText"/>
    <w:uiPriority w:val="99"/>
    <w:semiHidden/>
    <w:rsid w:val="00403FF5"/>
    <w:rPr>
      <w:sz w:val="22"/>
    </w:rPr>
  </w:style>
  <w:style w:type="character" w:customStyle="1" w:styleId="HeaderChar">
    <w:name w:val="Header Char"/>
    <w:basedOn w:val="DefaultParagraphFont"/>
    <w:link w:val="Header"/>
    <w:uiPriority w:val="99"/>
    <w:rsid w:val="00FE505A"/>
    <w:rPr>
      <w:sz w:val="24"/>
    </w:rPr>
  </w:style>
  <w:style w:type="character" w:styleId="CommentReference">
    <w:name w:val="annotation reference"/>
    <w:basedOn w:val="DefaultParagraphFont"/>
    <w:uiPriority w:val="99"/>
    <w:semiHidden/>
    <w:unhideWhenUsed/>
    <w:rsid w:val="00043566"/>
    <w:rPr>
      <w:sz w:val="16"/>
      <w:szCs w:val="16"/>
    </w:rPr>
  </w:style>
  <w:style w:type="paragraph" w:styleId="CommentText">
    <w:name w:val="annotation text"/>
    <w:basedOn w:val="Normal"/>
    <w:link w:val="CommentTextChar"/>
    <w:uiPriority w:val="99"/>
    <w:semiHidden/>
    <w:unhideWhenUsed/>
    <w:rsid w:val="00043566"/>
    <w:rPr>
      <w:sz w:val="20"/>
    </w:rPr>
  </w:style>
  <w:style w:type="character" w:customStyle="1" w:styleId="CommentTextChar">
    <w:name w:val="Comment Text Char"/>
    <w:basedOn w:val="DefaultParagraphFont"/>
    <w:link w:val="CommentText"/>
    <w:uiPriority w:val="99"/>
    <w:semiHidden/>
    <w:rsid w:val="00043566"/>
  </w:style>
  <w:style w:type="paragraph" w:styleId="CommentSubject">
    <w:name w:val="annotation subject"/>
    <w:basedOn w:val="CommentText"/>
    <w:next w:val="CommentText"/>
    <w:link w:val="CommentSubjectChar"/>
    <w:uiPriority w:val="99"/>
    <w:semiHidden/>
    <w:unhideWhenUsed/>
    <w:rsid w:val="00043566"/>
    <w:rPr>
      <w:b/>
      <w:bCs/>
    </w:rPr>
  </w:style>
  <w:style w:type="character" w:customStyle="1" w:styleId="CommentSubjectChar">
    <w:name w:val="Comment Subject Char"/>
    <w:basedOn w:val="CommentTextChar"/>
    <w:link w:val="CommentSubject"/>
    <w:uiPriority w:val="99"/>
    <w:semiHidden/>
    <w:rsid w:val="00043566"/>
    <w:rPr>
      <w:b/>
      <w:bCs/>
    </w:rPr>
  </w:style>
  <w:style w:type="paragraph" w:styleId="ListParagraph">
    <w:name w:val="List Paragraph"/>
    <w:basedOn w:val="Normal"/>
    <w:uiPriority w:val="34"/>
    <w:qFormat/>
    <w:rsid w:val="00917EDE"/>
    <w:pPr>
      <w:ind w:left="720"/>
      <w:contextualSpacing/>
    </w:pPr>
  </w:style>
  <w:style w:type="paragraph" w:customStyle="1" w:styleId="Default">
    <w:name w:val="Default"/>
    <w:rsid w:val="00014B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99">
      <w:bodyDiv w:val="1"/>
      <w:marLeft w:val="0"/>
      <w:marRight w:val="0"/>
      <w:marTop w:val="0"/>
      <w:marBottom w:val="0"/>
      <w:divBdr>
        <w:top w:val="none" w:sz="0" w:space="0" w:color="auto"/>
        <w:left w:val="none" w:sz="0" w:space="0" w:color="auto"/>
        <w:bottom w:val="none" w:sz="0" w:space="0" w:color="auto"/>
        <w:right w:val="none" w:sz="0" w:space="0" w:color="auto"/>
      </w:divBdr>
    </w:div>
    <w:div w:id="70734718">
      <w:bodyDiv w:val="1"/>
      <w:marLeft w:val="0"/>
      <w:marRight w:val="0"/>
      <w:marTop w:val="0"/>
      <w:marBottom w:val="0"/>
      <w:divBdr>
        <w:top w:val="none" w:sz="0" w:space="0" w:color="auto"/>
        <w:left w:val="none" w:sz="0" w:space="0" w:color="auto"/>
        <w:bottom w:val="none" w:sz="0" w:space="0" w:color="auto"/>
        <w:right w:val="none" w:sz="0" w:space="0" w:color="auto"/>
      </w:divBdr>
      <w:divsChild>
        <w:div w:id="1818760370">
          <w:marLeft w:val="0"/>
          <w:marRight w:val="0"/>
          <w:marTop w:val="0"/>
          <w:marBottom w:val="0"/>
          <w:divBdr>
            <w:top w:val="none" w:sz="0" w:space="0" w:color="auto"/>
            <w:left w:val="none" w:sz="0" w:space="0" w:color="auto"/>
            <w:bottom w:val="none" w:sz="0" w:space="0" w:color="auto"/>
            <w:right w:val="none" w:sz="0" w:space="0" w:color="auto"/>
          </w:divBdr>
          <w:divsChild>
            <w:div w:id="987788055">
              <w:marLeft w:val="0"/>
              <w:marRight w:val="0"/>
              <w:marTop w:val="0"/>
              <w:marBottom w:val="0"/>
              <w:divBdr>
                <w:top w:val="none" w:sz="0" w:space="0" w:color="auto"/>
                <w:left w:val="none" w:sz="0" w:space="0" w:color="auto"/>
                <w:bottom w:val="none" w:sz="0" w:space="0" w:color="auto"/>
                <w:right w:val="none" w:sz="0" w:space="0" w:color="auto"/>
              </w:divBdr>
              <w:divsChild>
                <w:div w:id="298657657">
                  <w:marLeft w:val="0"/>
                  <w:marRight w:val="0"/>
                  <w:marTop w:val="0"/>
                  <w:marBottom w:val="0"/>
                  <w:divBdr>
                    <w:top w:val="none" w:sz="0" w:space="0" w:color="auto"/>
                    <w:left w:val="none" w:sz="0" w:space="0" w:color="auto"/>
                    <w:bottom w:val="none" w:sz="0" w:space="0" w:color="auto"/>
                    <w:right w:val="none" w:sz="0" w:space="0" w:color="auto"/>
                  </w:divBdr>
                </w:div>
                <w:div w:id="862136413">
                  <w:marLeft w:val="0"/>
                  <w:marRight w:val="0"/>
                  <w:marTop w:val="0"/>
                  <w:marBottom w:val="0"/>
                  <w:divBdr>
                    <w:top w:val="none" w:sz="0" w:space="0" w:color="auto"/>
                    <w:left w:val="none" w:sz="0" w:space="0" w:color="auto"/>
                    <w:bottom w:val="none" w:sz="0" w:space="0" w:color="auto"/>
                    <w:right w:val="none" w:sz="0" w:space="0" w:color="auto"/>
                  </w:divBdr>
                </w:div>
                <w:div w:id="872426095">
                  <w:marLeft w:val="0"/>
                  <w:marRight w:val="0"/>
                  <w:marTop w:val="0"/>
                  <w:marBottom w:val="0"/>
                  <w:divBdr>
                    <w:top w:val="none" w:sz="0" w:space="0" w:color="auto"/>
                    <w:left w:val="none" w:sz="0" w:space="0" w:color="auto"/>
                    <w:bottom w:val="none" w:sz="0" w:space="0" w:color="auto"/>
                    <w:right w:val="none" w:sz="0" w:space="0" w:color="auto"/>
                  </w:divBdr>
                </w:div>
                <w:div w:id="1663973179">
                  <w:marLeft w:val="0"/>
                  <w:marRight w:val="0"/>
                  <w:marTop w:val="0"/>
                  <w:marBottom w:val="0"/>
                  <w:divBdr>
                    <w:top w:val="none" w:sz="0" w:space="0" w:color="auto"/>
                    <w:left w:val="none" w:sz="0" w:space="0" w:color="auto"/>
                    <w:bottom w:val="none" w:sz="0" w:space="0" w:color="auto"/>
                    <w:right w:val="none" w:sz="0" w:space="0" w:color="auto"/>
                  </w:divBdr>
                </w:div>
                <w:div w:id="1968704436">
                  <w:marLeft w:val="0"/>
                  <w:marRight w:val="0"/>
                  <w:marTop w:val="0"/>
                  <w:marBottom w:val="0"/>
                  <w:divBdr>
                    <w:top w:val="none" w:sz="0" w:space="0" w:color="auto"/>
                    <w:left w:val="none" w:sz="0" w:space="0" w:color="auto"/>
                    <w:bottom w:val="none" w:sz="0" w:space="0" w:color="auto"/>
                    <w:right w:val="none" w:sz="0" w:space="0" w:color="auto"/>
                  </w:divBdr>
                </w:div>
                <w:div w:id="1977252053">
                  <w:marLeft w:val="0"/>
                  <w:marRight w:val="0"/>
                  <w:marTop w:val="0"/>
                  <w:marBottom w:val="0"/>
                  <w:divBdr>
                    <w:top w:val="none" w:sz="0" w:space="0" w:color="auto"/>
                    <w:left w:val="none" w:sz="0" w:space="0" w:color="auto"/>
                    <w:bottom w:val="none" w:sz="0" w:space="0" w:color="auto"/>
                    <w:right w:val="none" w:sz="0" w:space="0" w:color="auto"/>
                  </w:divBdr>
                </w:div>
                <w:div w:id="21054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456">
      <w:bodyDiv w:val="1"/>
      <w:marLeft w:val="0"/>
      <w:marRight w:val="0"/>
      <w:marTop w:val="0"/>
      <w:marBottom w:val="0"/>
      <w:divBdr>
        <w:top w:val="none" w:sz="0" w:space="0" w:color="auto"/>
        <w:left w:val="none" w:sz="0" w:space="0" w:color="auto"/>
        <w:bottom w:val="none" w:sz="0" w:space="0" w:color="auto"/>
        <w:right w:val="none" w:sz="0" w:space="0" w:color="auto"/>
      </w:divBdr>
      <w:divsChild>
        <w:div w:id="2101367364">
          <w:marLeft w:val="0"/>
          <w:marRight w:val="0"/>
          <w:marTop w:val="0"/>
          <w:marBottom w:val="0"/>
          <w:divBdr>
            <w:top w:val="single" w:sz="2" w:space="0" w:color="FFFFFF"/>
            <w:left w:val="single" w:sz="2" w:space="0" w:color="FFFFFF"/>
            <w:bottom w:val="single" w:sz="2" w:space="0" w:color="FFFFFF"/>
            <w:right w:val="single" w:sz="2" w:space="0" w:color="FFFFFF"/>
          </w:divBdr>
          <w:divsChild>
            <w:div w:id="374306677">
              <w:marLeft w:val="400"/>
              <w:marRight w:val="800"/>
              <w:marTop w:val="0"/>
              <w:marBottom w:val="0"/>
              <w:divBdr>
                <w:top w:val="single" w:sz="2" w:space="0" w:color="FFFFFF"/>
                <w:left w:val="single" w:sz="2" w:space="0" w:color="FFFFFF"/>
                <w:bottom w:val="single" w:sz="2" w:space="0" w:color="FFFFFF"/>
                <w:right w:val="single" w:sz="2" w:space="0" w:color="FFFFFF"/>
              </w:divBdr>
            </w:div>
          </w:divsChild>
        </w:div>
      </w:divsChild>
    </w:div>
    <w:div w:id="896014300">
      <w:bodyDiv w:val="1"/>
      <w:marLeft w:val="0"/>
      <w:marRight w:val="0"/>
      <w:marTop w:val="0"/>
      <w:marBottom w:val="0"/>
      <w:divBdr>
        <w:top w:val="none" w:sz="0" w:space="0" w:color="auto"/>
        <w:left w:val="none" w:sz="0" w:space="0" w:color="auto"/>
        <w:bottom w:val="none" w:sz="0" w:space="0" w:color="auto"/>
        <w:right w:val="none" w:sz="0" w:space="0" w:color="auto"/>
      </w:divBdr>
    </w:div>
    <w:div w:id="1263537229">
      <w:bodyDiv w:val="1"/>
      <w:marLeft w:val="0"/>
      <w:marRight w:val="0"/>
      <w:marTop w:val="0"/>
      <w:marBottom w:val="0"/>
      <w:divBdr>
        <w:top w:val="none" w:sz="0" w:space="0" w:color="auto"/>
        <w:left w:val="none" w:sz="0" w:space="0" w:color="auto"/>
        <w:bottom w:val="none" w:sz="0" w:space="0" w:color="auto"/>
        <w:right w:val="none" w:sz="0" w:space="0" w:color="auto"/>
      </w:divBdr>
    </w:div>
    <w:div w:id="12764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ADE8-D013-479A-8961-9F6BEBFB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Unknown</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ARMSD</dc:creator>
  <cp:keywords/>
  <dc:description/>
  <cp:lastModifiedBy>Kuzma, Clare M.</cp:lastModifiedBy>
  <cp:revision>2</cp:revision>
  <cp:lastPrinted>2014-10-02T18:29:00Z</cp:lastPrinted>
  <dcterms:created xsi:type="dcterms:W3CDTF">2020-04-02T17:24:00Z</dcterms:created>
  <dcterms:modified xsi:type="dcterms:W3CDTF">2020-04-02T17:24:00Z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UFAAPw6bUgrQkNEXsc2ynx1xDLsypF5pMauYnKMIegPu2YkzmGC5be1MmAFk988Tkr99onl9te+cB8QX_x000d_
Mtt81bUDvzBCHeCyzKUR93OL47+1R9VJ/Qr1JmquLQGX+YmOk58sCUjx1pAcq/EKzuyGLcDejxMA_x000d_
JRoqBW5Bkdea/q/AY1eqacbPdkeT0q5Ji+P+7lYayAZHCj4e1g7f9EsNTGMO1S4cmwp0QYiZnFeV_x000d_
4cQqBFodcxQ9XDjTx</vt:lpwstr>
  </property>
  <property fmtid="{D5CDD505-2E9C-101B-9397-08002B2CF9AE}" pid="3" name="RESPONSE_SENDER_NAME">
    <vt:lpwstr>sAAA2RgG6J6jCJ1ypduxVu/zkQfNMt/WX8qizYSfZXyaV+k=</vt:lpwstr>
  </property>
  <property fmtid="{D5CDD505-2E9C-101B-9397-08002B2CF9AE}" pid="4" name="EMAIL_OWNER_ADDRESS">
    <vt:lpwstr>4AAA6DouqOs9baGFo2mE8r+LS7I2HyiQF9ezWqA9/1+k8hxEevZQ6R8ceQ==</vt:lpwstr>
  </property>
  <property fmtid="{D5CDD505-2E9C-101B-9397-08002B2CF9AE}" pid="5" name="MAIL_MSG_ID2">
    <vt:lpwstr>xKCXIxh+3v3CewkU6s9NFW3oVGYCvakc8K+loKoSmQin61F05af+cNMjMOA_x000d_
5bh4koSW9KdfHSWWiy3+zKvneqQ=</vt:lpwstr>
  </property>
</Properties>
</file>